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tabs>
          <w:tab w:val="left" w:pos="4900"/>
        </w:tabs>
        <w:spacing w:line="240" w:lineRule="auto"/>
        <w:rPr>
          <w:sz w:val="32"/>
          <w:szCs w:val="32"/>
        </w:rPr>
      </w:pPr>
      <w:r>
        <w:rPr>
          <w:rFonts w:hint="eastAsia"/>
          <w:sz w:val="32"/>
          <w:szCs w:val="32"/>
        </w:rPr>
        <w:t>用户需求</w:t>
      </w:r>
      <w:bookmarkStart w:id="0" w:name="_Hlt74192688"/>
      <w:bookmarkEnd w:id="0"/>
    </w:p>
    <w:p>
      <w:pPr>
        <w:spacing w:line="360" w:lineRule="auto"/>
        <w:jc w:val="center"/>
      </w:pPr>
      <w:r>
        <w:rPr>
          <w:rFonts w:hint="eastAsia" w:ascii="宋体" w:hAnsi="宋体"/>
          <w:b/>
          <w:sz w:val="30"/>
          <w:szCs w:val="30"/>
        </w:rPr>
        <w:t>第一部分 商务需求书</w:t>
      </w:r>
    </w:p>
    <w:tbl>
      <w:tblPr>
        <w:tblStyle w:val="5"/>
        <w:tblW w:w="9144" w:type="dxa"/>
        <w:jc w:val="center"/>
        <w:tblInd w:w="0"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836"/>
        <w:gridCol w:w="1496"/>
        <w:gridCol w:w="6812"/>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608" w:hRule="atLeast"/>
          <w:jc w:val="center"/>
        </w:trPr>
        <w:tc>
          <w:tcPr>
            <w:tcW w:w="836" w:type="dxa"/>
            <w:vAlign w:val="center"/>
          </w:tcPr>
          <w:p>
            <w:pPr>
              <w:spacing w:line="360" w:lineRule="auto"/>
              <w:jc w:val="center"/>
              <w:rPr>
                <w:rFonts w:ascii="宋体" w:hAnsi="宋体" w:cs="宋体"/>
                <w:sz w:val="22"/>
                <w:szCs w:val="22"/>
              </w:rPr>
            </w:pPr>
            <w:r>
              <w:rPr>
                <w:rFonts w:hint="eastAsia" w:ascii="宋体" w:hAnsi="宋体" w:cs="宋体"/>
                <w:sz w:val="22"/>
                <w:szCs w:val="22"/>
              </w:rPr>
              <w:t>序号</w:t>
            </w:r>
          </w:p>
        </w:tc>
        <w:tc>
          <w:tcPr>
            <w:tcW w:w="1496" w:type="dxa"/>
            <w:vAlign w:val="center"/>
          </w:tcPr>
          <w:p>
            <w:pPr>
              <w:spacing w:line="360" w:lineRule="auto"/>
              <w:jc w:val="center"/>
              <w:rPr>
                <w:rFonts w:ascii="宋体" w:hAnsi="宋体" w:cs="宋体"/>
                <w:sz w:val="22"/>
                <w:szCs w:val="22"/>
              </w:rPr>
            </w:pPr>
            <w:r>
              <w:rPr>
                <w:rFonts w:hint="eastAsia" w:ascii="宋体" w:hAnsi="宋体" w:cs="宋体"/>
                <w:sz w:val="22"/>
                <w:szCs w:val="22"/>
              </w:rPr>
              <w:t>条款名称</w:t>
            </w:r>
          </w:p>
        </w:tc>
        <w:tc>
          <w:tcPr>
            <w:tcW w:w="6812" w:type="dxa"/>
            <w:vAlign w:val="center"/>
          </w:tcPr>
          <w:p>
            <w:pPr>
              <w:spacing w:line="360" w:lineRule="auto"/>
              <w:jc w:val="center"/>
              <w:rPr>
                <w:rFonts w:ascii="宋体" w:hAnsi="宋体" w:cs="宋体"/>
                <w:sz w:val="22"/>
                <w:szCs w:val="22"/>
              </w:rPr>
            </w:pPr>
            <w:r>
              <w:rPr>
                <w:rFonts w:hint="eastAsia" w:ascii="宋体" w:hAnsi="宋体" w:cs="宋体"/>
                <w:sz w:val="22"/>
                <w:szCs w:val="22"/>
              </w:rPr>
              <w:t>说  明</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2797" w:hRule="atLeast"/>
          <w:jc w:val="center"/>
        </w:trPr>
        <w:tc>
          <w:tcPr>
            <w:tcW w:w="836" w:type="dxa"/>
            <w:vAlign w:val="center"/>
          </w:tcPr>
          <w:p>
            <w:pPr>
              <w:spacing w:line="360" w:lineRule="auto"/>
              <w:jc w:val="center"/>
              <w:rPr>
                <w:rFonts w:ascii="宋体" w:hAnsi="宋体" w:cs="宋体"/>
                <w:sz w:val="22"/>
                <w:szCs w:val="22"/>
              </w:rPr>
            </w:pPr>
            <w:r>
              <w:rPr>
                <w:rFonts w:hint="eastAsia" w:ascii="宋体" w:hAnsi="宋体" w:cs="宋体"/>
                <w:sz w:val="22"/>
                <w:szCs w:val="22"/>
              </w:rPr>
              <w:t>1</w:t>
            </w:r>
          </w:p>
        </w:tc>
        <w:tc>
          <w:tcPr>
            <w:tcW w:w="1496" w:type="dxa"/>
            <w:vAlign w:val="center"/>
          </w:tcPr>
          <w:p>
            <w:pPr>
              <w:spacing w:line="400" w:lineRule="exact"/>
              <w:rPr>
                <w:rFonts w:ascii="宋体" w:hAnsi="宋体" w:cs="宋体"/>
                <w:sz w:val="22"/>
                <w:szCs w:val="22"/>
              </w:rPr>
            </w:pPr>
            <w:r>
              <w:rPr>
                <w:rFonts w:hint="eastAsia" w:ascii="宋体" w:hAnsi="宋体" w:cs="宋体"/>
                <w:sz w:val="22"/>
                <w:szCs w:val="22"/>
              </w:rPr>
              <w:t>合格投标人</w:t>
            </w:r>
          </w:p>
        </w:tc>
        <w:tc>
          <w:tcPr>
            <w:tcW w:w="6812" w:type="dxa"/>
            <w:vAlign w:val="center"/>
          </w:tcPr>
          <w:p>
            <w:pPr>
              <w:pStyle w:val="3"/>
              <w:widowControl/>
              <w:spacing w:line="400" w:lineRule="exact"/>
              <w:ind w:left="216" w:hanging="216" w:hangingChars="90"/>
              <w:rPr>
                <w:rFonts w:hint="default" w:ascii="宋体" w:hAnsi="宋体" w:eastAsia="宋体" w:cs="宋体"/>
                <w:sz w:val="22"/>
                <w:szCs w:val="22"/>
              </w:rPr>
            </w:pPr>
            <w:r>
              <w:rPr>
                <w:rFonts w:ascii="宋体" w:hAnsi="宋体" w:eastAsia="宋体" w:cs="宋体"/>
              </w:rPr>
              <w:t>①</w:t>
            </w:r>
            <w:r>
              <w:rPr>
                <w:rFonts w:ascii="宋体" w:hAnsi="宋体" w:eastAsia="宋体" w:cs="宋体"/>
                <w:sz w:val="22"/>
                <w:szCs w:val="22"/>
              </w:rPr>
              <w:t>供应商须为在中华人民共和国境内登记注册的具有独立承担民事责任能力的法人。</w:t>
            </w:r>
          </w:p>
          <w:p>
            <w:pPr>
              <w:pStyle w:val="3"/>
              <w:widowControl/>
              <w:spacing w:line="400" w:lineRule="exact"/>
              <w:rPr>
                <w:rFonts w:hint="default" w:ascii="宋体" w:hAnsi="宋体" w:eastAsia="宋体" w:cs="宋体"/>
                <w:sz w:val="22"/>
                <w:szCs w:val="22"/>
              </w:rPr>
            </w:pPr>
            <w:r>
              <w:rPr>
                <w:rFonts w:ascii="宋体" w:hAnsi="宋体" w:eastAsia="宋体" w:cs="宋体"/>
              </w:rPr>
              <w:t>②</w:t>
            </w:r>
            <w:r>
              <w:rPr>
                <w:rFonts w:ascii="宋体" w:hAnsi="宋体" w:eastAsia="宋体" w:cs="宋体"/>
                <w:sz w:val="22"/>
                <w:szCs w:val="22"/>
              </w:rPr>
              <w:t>供应商须符合《中华人民共和国政府采购法》第二十二条规定。</w:t>
            </w:r>
          </w:p>
          <w:p>
            <w:pPr>
              <w:pStyle w:val="3"/>
              <w:widowControl/>
              <w:spacing w:line="400" w:lineRule="exact"/>
              <w:ind w:left="216" w:hanging="216" w:hangingChars="90"/>
              <w:rPr>
                <w:rFonts w:hint="default" w:ascii="宋体" w:hAnsi="宋体" w:eastAsia="宋体" w:cs="宋体"/>
                <w:sz w:val="22"/>
                <w:szCs w:val="22"/>
              </w:rPr>
            </w:pPr>
            <w:r>
              <w:rPr>
                <w:rFonts w:ascii="宋体" w:hAnsi="宋体" w:eastAsia="宋体" w:cs="宋体"/>
              </w:rPr>
              <w:t>③</w:t>
            </w:r>
            <w:r>
              <w:rPr>
                <w:rFonts w:ascii="宋体" w:hAnsi="宋体" w:eastAsia="宋体" w:cs="宋体"/>
                <w:sz w:val="22"/>
                <w:szCs w:val="22"/>
              </w:rPr>
              <w:t>供应商的单位负责人为同一人或者存在直接控股、管理关系的不同供应商，不得参加同一合同项下的政府采购活动；</w:t>
            </w:r>
          </w:p>
          <w:p>
            <w:pPr>
              <w:pStyle w:val="3"/>
              <w:widowControl/>
              <w:spacing w:line="400" w:lineRule="exact"/>
              <w:ind w:left="238" w:hanging="238" w:hangingChars="99"/>
              <w:rPr>
                <w:rFonts w:hint="default" w:ascii="宋体" w:hAnsi="宋体" w:eastAsia="宋体" w:cs="宋体"/>
                <w:sz w:val="22"/>
                <w:szCs w:val="22"/>
              </w:rPr>
            </w:pPr>
            <w:r>
              <w:rPr>
                <w:rFonts w:ascii="宋体" w:hAnsi="宋体" w:eastAsia="宋体" w:cs="宋体"/>
              </w:rPr>
              <w:t>④</w:t>
            </w:r>
            <w:r>
              <w:rPr>
                <w:rFonts w:ascii="宋体" w:hAnsi="宋体" w:eastAsia="宋体" w:cs="宋体"/>
                <w:sz w:val="22"/>
                <w:szCs w:val="22"/>
              </w:rPr>
              <w:t>投标人必须在东莞市城乡住房和建设局办理登记备案，已经领取房屋安全鉴定机构《信用管理手册》，且其《信用管理手册》必须在有效期内；</w:t>
            </w:r>
          </w:p>
          <w:p>
            <w:pPr>
              <w:pStyle w:val="3"/>
              <w:widowControl/>
              <w:spacing w:line="400" w:lineRule="exact"/>
              <w:ind w:left="216" w:hanging="216" w:hangingChars="90"/>
              <w:rPr>
                <w:rFonts w:hint="default" w:ascii="宋体" w:hAnsi="宋体" w:eastAsia="宋体" w:cs="宋体"/>
                <w:sz w:val="22"/>
                <w:szCs w:val="22"/>
              </w:rPr>
            </w:pPr>
            <w:r>
              <w:rPr>
                <w:rFonts w:ascii="宋体" w:hAnsi="宋体" w:eastAsia="宋体" w:cs="宋体"/>
              </w:rPr>
              <w:t>⑤</w:t>
            </w:r>
            <w:r>
              <w:rPr>
                <w:rFonts w:ascii="宋体" w:hAnsi="宋体" w:eastAsia="宋体" w:cs="宋体"/>
                <w:sz w:val="22"/>
                <w:szCs w:val="22"/>
              </w:rPr>
              <w:t>供应商参加政府采购活动前三年内，在经营活动中没有重大违法记录。（须提供书面声明）；</w:t>
            </w:r>
          </w:p>
          <w:p>
            <w:pPr>
              <w:pStyle w:val="3"/>
              <w:widowControl/>
              <w:spacing w:line="400" w:lineRule="exact"/>
              <w:rPr>
                <w:rFonts w:hint="default" w:ascii="宋体" w:hAnsi="宋体" w:eastAsia="宋体" w:cs="宋体"/>
                <w:sz w:val="22"/>
                <w:szCs w:val="22"/>
              </w:rPr>
            </w:pPr>
            <w:r>
              <w:rPr>
                <w:rFonts w:ascii="宋体" w:hAnsi="宋体" w:eastAsia="宋体" w:cs="宋体"/>
                <w:sz w:val="22"/>
                <w:szCs w:val="22"/>
              </w:rPr>
              <w:t>注：本项目不接受联合体投标。</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403" w:hRule="atLeast"/>
          <w:jc w:val="center"/>
        </w:trPr>
        <w:tc>
          <w:tcPr>
            <w:tcW w:w="836" w:type="dxa"/>
            <w:vAlign w:val="center"/>
          </w:tcPr>
          <w:p>
            <w:pPr>
              <w:spacing w:line="360" w:lineRule="auto"/>
              <w:jc w:val="center"/>
              <w:rPr>
                <w:rFonts w:ascii="宋体" w:hAnsi="宋体" w:cs="宋体"/>
                <w:sz w:val="22"/>
                <w:szCs w:val="22"/>
              </w:rPr>
            </w:pPr>
            <w:r>
              <w:rPr>
                <w:rFonts w:hint="eastAsia" w:ascii="宋体" w:hAnsi="宋体" w:cs="宋体"/>
                <w:sz w:val="22"/>
                <w:szCs w:val="22"/>
              </w:rPr>
              <w:t>2</w:t>
            </w:r>
          </w:p>
        </w:tc>
        <w:tc>
          <w:tcPr>
            <w:tcW w:w="1496" w:type="dxa"/>
            <w:vAlign w:val="center"/>
          </w:tcPr>
          <w:p>
            <w:pPr>
              <w:spacing w:line="400" w:lineRule="exact"/>
              <w:jc w:val="center"/>
              <w:rPr>
                <w:rFonts w:ascii="宋体" w:hAnsi="宋体" w:cs="宋体"/>
                <w:sz w:val="22"/>
                <w:szCs w:val="22"/>
              </w:rPr>
            </w:pPr>
            <w:r>
              <w:rPr>
                <w:rFonts w:hint="eastAsia" w:ascii="宋体" w:hAnsi="宋体" w:cs="宋体"/>
                <w:sz w:val="22"/>
                <w:szCs w:val="22"/>
              </w:rPr>
              <w:t>服务期</w:t>
            </w:r>
          </w:p>
        </w:tc>
        <w:tc>
          <w:tcPr>
            <w:tcW w:w="6812" w:type="dxa"/>
            <w:vAlign w:val="center"/>
          </w:tcPr>
          <w:p>
            <w:pPr>
              <w:spacing w:line="400" w:lineRule="exact"/>
              <w:rPr>
                <w:rFonts w:ascii="宋体" w:hAnsi="宋体" w:cs="宋体"/>
                <w:sz w:val="22"/>
                <w:szCs w:val="22"/>
              </w:rPr>
            </w:pPr>
            <w:r>
              <w:rPr>
                <w:rFonts w:hint="eastAsia" w:ascii="宋体" w:hAnsi="宋体" w:cs="宋体"/>
                <w:sz w:val="22"/>
                <w:szCs w:val="22"/>
              </w:rPr>
              <w:t>发出进场通知后60个日历日内完成服务内容，并且要求30个日历日内完成与校园现场相关的各项调查、检查、检测和既有建筑物在鉴定过程中有所破坏的地方按原貌进行恢复等工作。</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1108" w:hRule="atLeast"/>
          <w:jc w:val="center"/>
        </w:trPr>
        <w:tc>
          <w:tcPr>
            <w:tcW w:w="836" w:type="dxa"/>
            <w:vAlign w:val="center"/>
          </w:tcPr>
          <w:p>
            <w:pPr>
              <w:spacing w:line="360" w:lineRule="auto"/>
              <w:jc w:val="center"/>
              <w:rPr>
                <w:rFonts w:ascii="宋体" w:hAnsi="宋体" w:cs="宋体"/>
                <w:sz w:val="22"/>
                <w:szCs w:val="22"/>
              </w:rPr>
            </w:pPr>
            <w:r>
              <w:rPr>
                <w:rFonts w:hint="eastAsia" w:ascii="宋体" w:hAnsi="宋体" w:cs="宋体"/>
                <w:sz w:val="22"/>
                <w:szCs w:val="22"/>
              </w:rPr>
              <w:t>3</w:t>
            </w:r>
          </w:p>
        </w:tc>
        <w:tc>
          <w:tcPr>
            <w:tcW w:w="1496" w:type="dxa"/>
            <w:vAlign w:val="center"/>
          </w:tcPr>
          <w:p>
            <w:pPr>
              <w:numPr>
                <w:ilvl w:val="1"/>
                <w:numId w:val="0"/>
              </w:numPr>
              <w:tabs>
                <w:tab w:val="left" w:pos="-28"/>
              </w:tabs>
              <w:spacing w:line="400" w:lineRule="exact"/>
              <w:jc w:val="center"/>
              <w:rPr>
                <w:rFonts w:ascii="宋体" w:hAnsi="宋体" w:cs="宋体"/>
                <w:bCs/>
                <w:sz w:val="22"/>
                <w:szCs w:val="22"/>
              </w:rPr>
            </w:pPr>
            <w:r>
              <w:rPr>
                <w:rFonts w:hint="eastAsia" w:ascii="宋体" w:hAnsi="宋体" w:cs="宋体"/>
                <w:sz w:val="22"/>
                <w:szCs w:val="22"/>
              </w:rPr>
              <w:t>付</w:t>
            </w:r>
            <w:r>
              <w:rPr>
                <w:rFonts w:hint="eastAsia" w:ascii="宋体" w:hAnsi="宋体" w:cs="宋体"/>
                <w:bCs/>
                <w:sz w:val="22"/>
                <w:szCs w:val="22"/>
              </w:rPr>
              <w:t>款</w:t>
            </w:r>
          </w:p>
        </w:tc>
        <w:tc>
          <w:tcPr>
            <w:tcW w:w="6812" w:type="dxa"/>
            <w:vAlign w:val="center"/>
          </w:tcPr>
          <w:p>
            <w:pPr>
              <w:spacing w:line="400" w:lineRule="exact"/>
              <w:ind w:left="240" w:hanging="240" w:hangingChars="100"/>
              <w:rPr>
                <w:rFonts w:ascii="宋体" w:hAnsi="宋体" w:cs="宋体"/>
                <w:bCs/>
                <w:sz w:val="22"/>
                <w:szCs w:val="22"/>
              </w:rPr>
            </w:pPr>
            <w:r>
              <w:rPr>
                <w:rFonts w:hint="eastAsia" w:ascii="宋体" w:hAnsi="宋体" w:cs="宋体"/>
                <w:bCs/>
                <w:sz w:val="24"/>
                <w:szCs w:val="24"/>
              </w:rPr>
              <w:t>①</w:t>
            </w:r>
            <w:r>
              <w:rPr>
                <w:rFonts w:hint="eastAsia" w:ascii="宋体" w:hAnsi="宋体" w:cs="宋体"/>
                <w:bCs/>
                <w:sz w:val="22"/>
                <w:szCs w:val="22"/>
              </w:rPr>
              <w:t>签订合同，项目成果审查通过，对校园内的既有建筑物在鉴定过程中有所破坏的地方按原貌进行恢复，并提交请款报告后，支付至合同总款的80％，余款在项目验收通过三个月后，没其他售后问题，进行支付；</w:t>
            </w:r>
          </w:p>
          <w:p>
            <w:pPr>
              <w:spacing w:line="400" w:lineRule="exact"/>
              <w:ind w:left="216" w:hanging="216" w:hangingChars="90"/>
              <w:rPr>
                <w:rFonts w:ascii="宋体" w:hAnsi="宋体" w:cs="宋体"/>
                <w:sz w:val="22"/>
                <w:szCs w:val="22"/>
              </w:rPr>
            </w:pPr>
            <w:r>
              <w:rPr>
                <w:rFonts w:hint="eastAsia" w:ascii="宋体" w:hAnsi="宋体" w:cs="宋体"/>
                <w:sz w:val="24"/>
                <w:szCs w:val="24"/>
              </w:rPr>
              <w:t>②</w:t>
            </w:r>
            <w:r>
              <w:rPr>
                <w:rFonts w:hint="eastAsia" w:ascii="宋体" w:hAnsi="宋体" w:cs="宋体"/>
                <w:sz w:val="22"/>
                <w:szCs w:val="22"/>
              </w:rPr>
              <w:t>中标方应在采购单位支付货款前，将发票送至采购单位。发票抬头名称与采购单位名称一致。付款时间以付款划出款项之日为准</w:t>
            </w:r>
            <w:r>
              <w:rPr>
                <w:rFonts w:hint="eastAsia" w:ascii="宋体" w:hAnsi="宋体" w:cs="宋体"/>
                <w:bCs/>
                <w:sz w:val="22"/>
                <w:szCs w:val="22"/>
              </w:rPr>
              <w: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348" w:hRule="atLeast"/>
          <w:jc w:val="center"/>
        </w:trPr>
        <w:tc>
          <w:tcPr>
            <w:tcW w:w="836" w:type="dxa"/>
            <w:vAlign w:val="center"/>
          </w:tcPr>
          <w:p>
            <w:pPr>
              <w:spacing w:line="360" w:lineRule="auto"/>
              <w:jc w:val="center"/>
              <w:rPr>
                <w:rFonts w:ascii="宋体" w:hAnsi="宋体" w:cs="宋体"/>
                <w:sz w:val="22"/>
                <w:szCs w:val="22"/>
              </w:rPr>
            </w:pPr>
            <w:r>
              <w:rPr>
                <w:rFonts w:hint="eastAsia" w:ascii="宋体" w:hAnsi="宋体" w:cs="宋体"/>
                <w:sz w:val="22"/>
                <w:szCs w:val="22"/>
              </w:rPr>
              <w:t>4</w:t>
            </w:r>
          </w:p>
        </w:tc>
        <w:tc>
          <w:tcPr>
            <w:tcW w:w="1496" w:type="dxa"/>
            <w:vAlign w:val="center"/>
          </w:tcPr>
          <w:p>
            <w:pPr>
              <w:spacing w:line="400" w:lineRule="exact"/>
              <w:jc w:val="center"/>
              <w:rPr>
                <w:rFonts w:ascii="宋体" w:hAnsi="宋体" w:cs="宋体"/>
                <w:sz w:val="22"/>
                <w:szCs w:val="22"/>
              </w:rPr>
            </w:pPr>
            <w:r>
              <w:rPr>
                <w:rFonts w:hint="eastAsia" w:ascii="宋体" w:hAnsi="宋体" w:cs="宋体"/>
                <w:sz w:val="22"/>
                <w:szCs w:val="22"/>
              </w:rPr>
              <w:t>服务地点</w:t>
            </w:r>
          </w:p>
        </w:tc>
        <w:tc>
          <w:tcPr>
            <w:tcW w:w="6812" w:type="dxa"/>
            <w:vAlign w:val="center"/>
          </w:tcPr>
          <w:p>
            <w:pPr>
              <w:spacing w:line="400" w:lineRule="exact"/>
              <w:ind w:right="25"/>
              <w:rPr>
                <w:rFonts w:ascii="宋体" w:hAnsi="宋体" w:cs="宋体"/>
                <w:bCs/>
                <w:sz w:val="22"/>
                <w:szCs w:val="22"/>
              </w:rPr>
            </w:pPr>
            <w:r>
              <w:rPr>
                <w:rFonts w:hint="eastAsia" w:ascii="宋体" w:hAnsi="宋体" w:cs="宋体"/>
                <w:bCs/>
                <w:sz w:val="22"/>
                <w:szCs w:val="22"/>
              </w:rPr>
              <w:t>采购人指定地点</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1160" w:hRule="atLeast"/>
          <w:jc w:val="center"/>
        </w:trPr>
        <w:tc>
          <w:tcPr>
            <w:tcW w:w="836" w:type="dxa"/>
            <w:vAlign w:val="center"/>
          </w:tcPr>
          <w:p>
            <w:pPr>
              <w:spacing w:line="360" w:lineRule="auto"/>
              <w:jc w:val="center"/>
              <w:rPr>
                <w:rFonts w:ascii="宋体" w:hAnsi="宋体" w:cs="宋体"/>
                <w:sz w:val="22"/>
                <w:szCs w:val="22"/>
              </w:rPr>
            </w:pPr>
            <w:r>
              <w:rPr>
                <w:rFonts w:hint="eastAsia" w:ascii="宋体" w:hAnsi="宋体" w:cs="宋体"/>
                <w:sz w:val="22"/>
                <w:szCs w:val="22"/>
              </w:rPr>
              <w:t>5</w:t>
            </w:r>
          </w:p>
        </w:tc>
        <w:tc>
          <w:tcPr>
            <w:tcW w:w="1496" w:type="dxa"/>
            <w:vAlign w:val="center"/>
          </w:tcPr>
          <w:p>
            <w:pPr>
              <w:spacing w:line="400" w:lineRule="exact"/>
              <w:jc w:val="center"/>
              <w:rPr>
                <w:rFonts w:ascii="宋体" w:hAnsi="宋体" w:cs="宋体"/>
                <w:sz w:val="22"/>
                <w:szCs w:val="22"/>
              </w:rPr>
            </w:pPr>
            <w:r>
              <w:rPr>
                <w:rFonts w:hint="eastAsia" w:ascii="宋体" w:hAnsi="宋体" w:cs="宋体"/>
                <w:sz w:val="22"/>
                <w:szCs w:val="22"/>
              </w:rPr>
              <w:t>报价内容</w:t>
            </w:r>
          </w:p>
        </w:tc>
        <w:tc>
          <w:tcPr>
            <w:tcW w:w="6812" w:type="dxa"/>
            <w:vAlign w:val="center"/>
          </w:tcPr>
          <w:p>
            <w:pPr>
              <w:spacing w:line="400" w:lineRule="exact"/>
              <w:rPr>
                <w:rFonts w:ascii="宋体" w:hAnsi="宋体" w:cs="宋体"/>
                <w:sz w:val="22"/>
                <w:szCs w:val="22"/>
              </w:rPr>
            </w:pPr>
            <w:r>
              <w:rPr>
                <w:rFonts w:hint="eastAsia" w:ascii="宋体" w:hAnsi="宋体" w:cs="宋体"/>
                <w:sz w:val="22"/>
                <w:szCs w:val="22"/>
              </w:rPr>
              <w:t>报价应包含完成本次招标所有服务内容的费用，包括鉴定费用、人工费、劳保费、保险费、材料费、设备使用费、各种税务费、必须的辅助材料费及合同实施过程中不可预见费用等全部费用。</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836" w:type="dxa"/>
            <w:vAlign w:val="center"/>
          </w:tcPr>
          <w:p>
            <w:pPr>
              <w:spacing w:line="360" w:lineRule="auto"/>
              <w:jc w:val="center"/>
              <w:rPr>
                <w:rFonts w:ascii="宋体" w:hAnsi="宋体" w:cs="宋体"/>
                <w:sz w:val="22"/>
                <w:szCs w:val="22"/>
              </w:rPr>
            </w:pPr>
            <w:r>
              <w:rPr>
                <w:rFonts w:hint="eastAsia" w:ascii="宋体" w:hAnsi="宋体" w:cs="宋体"/>
                <w:sz w:val="22"/>
                <w:szCs w:val="22"/>
              </w:rPr>
              <w:t>6</w:t>
            </w:r>
          </w:p>
        </w:tc>
        <w:tc>
          <w:tcPr>
            <w:tcW w:w="1496" w:type="dxa"/>
            <w:vAlign w:val="center"/>
          </w:tcPr>
          <w:p>
            <w:pPr>
              <w:spacing w:line="400" w:lineRule="exact"/>
              <w:jc w:val="center"/>
              <w:rPr>
                <w:rFonts w:ascii="宋体" w:hAnsi="宋体" w:cs="宋体"/>
                <w:sz w:val="22"/>
                <w:szCs w:val="22"/>
              </w:rPr>
            </w:pPr>
            <w:r>
              <w:rPr>
                <w:rFonts w:hint="eastAsia" w:ascii="宋体" w:hAnsi="宋体" w:cs="宋体"/>
                <w:sz w:val="22"/>
                <w:szCs w:val="22"/>
              </w:rPr>
              <w:t>合同条款</w:t>
            </w:r>
          </w:p>
        </w:tc>
        <w:tc>
          <w:tcPr>
            <w:tcW w:w="6812" w:type="dxa"/>
          </w:tcPr>
          <w:p>
            <w:pPr>
              <w:spacing w:line="400" w:lineRule="exact"/>
              <w:rPr>
                <w:rFonts w:ascii="宋体" w:hAnsi="宋体" w:cs="宋体"/>
                <w:b/>
                <w:sz w:val="22"/>
                <w:szCs w:val="22"/>
              </w:rPr>
            </w:pPr>
            <w:r>
              <w:rPr>
                <w:rFonts w:hint="eastAsia" w:ascii="宋体" w:hAnsi="宋体" w:cs="宋体"/>
                <w:sz w:val="22"/>
                <w:szCs w:val="22"/>
              </w:rPr>
              <w:t>投标人实质响应合同各条款。</w:t>
            </w:r>
          </w:p>
        </w:tc>
      </w:tr>
    </w:tbl>
    <w:p>
      <w:pPr>
        <w:spacing w:line="360" w:lineRule="auto"/>
        <w:jc w:val="center"/>
        <w:rPr>
          <w:rFonts w:ascii="宋体" w:hAnsi="宋体" w:cs="宋体"/>
          <w:b/>
          <w:sz w:val="30"/>
          <w:szCs w:val="30"/>
        </w:rPr>
      </w:pPr>
    </w:p>
    <w:p>
      <w:pPr>
        <w:spacing w:line="360" w:lineRule="auto"/>
        <w:jc w:val="center"/>
      </w:pPr>
      <w:r>
        <w:rPr>
          <w:rFonts w:hint="eastAsia" w:ascii="宋体" w:hAnsi="宋体" w:cs="宋体"/>
          <w:b/>
          <w:sz w:val="30"/>
          <w:szCs w:val="30"/>
        </w:rPr>
        <w:t>第二部分 技术需求书</w:t>
      </w:r>
    </w:p>
    <w:p>
      <w:pPr>
        <w:numPr>
          <w:ilvl w:val="0"/>
          <w:numId w:val="1"/>
        </w:numPr>
        <w:spacing w:line="360" w:lineRule="auto"/>
        <w:rPr>
          <w:rFonts w:asciiTheme="majorEastAsia" w:hAnsiTheme="majorEastAsia" w:eastAsiaTheme="majorEastAsia" w:cstheme="majorEastAsia"/>
          <w:b/>
          <w:bCs/>
          <w:sz w:val="22"/>
          <w:szCs w:val="22"/>
        </w:rPr>
      </w:pPr>
      <w:r>
        <w:rPr>
          <w:rFonts w:hint="eastAsia" w:asciiTheme="majorEastAsia" w:hAnsiTheme="majorEastAsia" w:eastAsiaTheme="majorEastAsia" w:cstheme="majorEastAsia"/>
          <w:b/>
          <w:bCs/>
          <w:sz w:val="22"/>
          <w:szCs w:val="22"/>
        </w:rPr>
        <w:t>项目概况</w:t>
      </w:r>
    </w:p>
    <w:p>
      <w:pPr>
        <w:spacing w:line="360" w:lineRule="auto"/>
        <w:ind w:firstLine="440" w:firstLineChars="200"/>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东城公办中小学部分既有建筑物于2009年 “校安工程”已经进行结构及抗震鉴定，但还有部分校舍及配套建筑物没有鉴定检测。因此，根据东府办〔2009〕123号《关于印〈发东莞市中小学校舍安全工程实施方案〉的通知》和东莞市人民政府令第144号《东莞市房屋使用安全管理规定》的文件精神，东城公办中小学需要进行结构安全鉴定和建筑抗震评估的既有建筑物，具体详见下表：</w:t>
      </w:r>
    </w:p>
    <w:tbl>
      <w:tblPr>
        <w:tblStyle w:val="5"/>
        <w:tblW w:w="8875" w:type="dxa"/>
        <w:tblInd w:w="0" w:type="dxa"/>
        <w:tblLayout w:type="fixed"/>
        <w:tblCellMar>
          <w:top w:w="15" w:type="dxa"/>
          <w:left w:w="15" w:type="dxa"/>
          <w:bottom w:w="15" w:type="dxa"/>
          <w:right w:w="15" w:type="dxa"/>
        </w:tblCellMar>
      </w:tblPr>
      <w:tblGrid>
        <w:gridCol w:w="621"/>
        <w:gridCol w:w="2986"/>
        <w:gridCol w:w="1464"/>
        <w:gridCol w:w="2116"/>
        <w:gridCol w:w="1688"/>
      </w:tblGrid>
      <w:tr>
        <w:tblPrEx>
          <w:tblLayout w:type="fixed"/>
          <w:tblCellMar>
            <w:top w:w="15" w:type="dxa"/>
            <w:left w:w="15" w:type="dxa"/>
            <w:bottom w:w="15" w:type="dxa"/>
            <w:right w:w="15" w:type="dxa"/>
          </w:tblCellMar>
        </w:tblPrEx>
        <w:trPr>
          <w:trHeight w:val="90" w:hRule="atLeast"/>
        </w:trPr>
        <w:tc>
          <w:tcPr>
            <w:tcW w:w="621" w:type="dxa"/>
            <w:tcBorders>
              <w:top w:val="single" w:color="000000" w:sz="4" w:space="0"/>
              <w:left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序号</w:t>
            </w:r>
          </w:p>
        </w:tc>
        <w:tc>
          <w:tcPr>
            <w:tcW w:w="2986" w:type="dxa"/>
            <w:tcBorders>
              <w:top w:val="single" w:color="000000" w:sz="4" w:space="0"/>
              <w:left w:val="single" w:color="000000" w:sz="4" w:space="0"/>
              <w:right w:val="single" w:color="auto"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学校名称</w:t>
            </w:r>
          </w:p>
        </w:tc>
        <w:tc>
          <w:tcPr>
            <w:tcW w:w="1464" w:type="dxa"/>
            <w:tcBorders>
              <w:top w:val="single" w:color="auto" w:sz="4" w:space="0"/>
              <w:left w:val="single" w:color="auto" w:sz="4" w:space="0"/>
              <w:right w:val="single" w:color="auto"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b/>
                <w:bCs/>
                <w:sz w:val="22"/>
                <w:szCs w:val="22"/>
              </w:rPr>
              <w:t>栋数(栋）</w:t>
            </w:r>
          </w:p>
        </w:tc>
        <w:tc>
          <w:tcPr>
            <w:tcW w:w="2116"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b/>
                <w:bCs/>
                <w:sz w:val="22"/>
                <w:szCs w:val="22"/>
              </w:rPr>
              <w:t>建筑面积(㎡)</w:t>
            </w:r>
          </w:p>
        </w:tc>
        <w:tc>
          <w:tcPr>
            <w:tcW w:w="1688" w:type="dxa"/>
            <w:tcBorders>
              <w:top w:val="single" w:color="000000" w:sz="4" w:space="0"/>
              <w:left w:val="single" w:color="auto"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b/>
                <w:bCs/>
                <w:sz w:val="22"/>
                <w:szCs w:val="22"/>
                <w:shd w:val="clear" w:color="FFFFFF" w:fill="D9D9D9"/>
              </w:rPr>
            </w:pPr>
            <w:r>
              <w:rPr>
                <w:rFonts w:hint="eastAsia" w:asciiTheme="majorEastAsia" w:hAnsiTheme="majorEastAsia" w:eastAsiaTheme="majorEastAsia" w:cstheme="majorEastAsia"/>
                <w:b/>
                <w:bCs/>
                <w:sz w:val="22"/>
                <w:szCs w:val="22"/>
                <w:shd w:val="clear" w:color="FFFFFF" w:fill="D9D9D9"/>
              </w:rPr>
              <w:t>备注</w:t>
            </w:r>
          </w:p>
        </w:tc>
      </w:tr>
      <w:tr>
        <w:tblPrEx>
          <w:tblLayout w:type="fixed"/>
          <w:tblCellMar>
            <w:top w:w="15" w:type="dxa"/>
            <w:left w:w="15" w:type="dxa"/>
            <w:bottom w:w="15" w:type="dxa"/>
            <w:right w:w="15" w:type="dxa"/>
          </w:tblCellMar>
        </w:tblPrEx>
        <w:trPr>
          <w:trHeight w:val="516" w:hRule="atLeast"/>
        </w:trPr>
        <w:tc>
          <w:tcPr>
            <w:tcW w:w="621"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1</w:t>
            </w:r>
          </w:p>
        </w:tc>
        <w:tc>
          <w:tcPr>
            <w:tcW w:w="2986"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东城第六小学</w:t>
            </w:r>
          </w:p>
        </w:tc>
        <w:tc>
          <w:tcPr>
            <w:tcW w:w="1464" w:type="dxa"/>
            <w:tcBorders>
              <w:top w:val="single" w:color="auto"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2</w:t>
            </w:r>
          </w:p>
        </w:tc>
        <w:tc>
          <w:tcPr>
            <w:tcW w:w="2116" w:type="dxa"/>
            <w:tcBorders>
              <w:top w:val="single" w:color="auto"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u w:val="single"/>
              </w:rPr>
            </w:pPr>
            <w:r>
              <w:rPr>
                <w:rFonts w:hint="eastAsia" w:asciiTheme="majorEastAsia" w:hAnsiTheme="majorEastAsia" w:eastAsiaTheme="majorEastAsia" w:cstheme="majorEastAsia"/>
                <w:sz w:val="22"/>
                <w:szCs w:val="22"/>
              </w:rPr>
              <w:t>27163</w:t>
            </w:r>
          </w:p>
        </w:tc>
        <w:tc>
          <w:tcPr>
            <w:tcW w:w="1688"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p>
        </w:tc>
      </w:tr>
      <w:tr>
        <w:tblPrEx>
          <w:tblLayout w:type="fixed"/>
          <w:tblCellMar>
            <w:top w:w="15" w:type="dxa"/>
            <w:left w:w="15" w:type="dxa"/>
            <w:bottom w:w="15" w:type="dxa"/>
            <w:right w:w="15" w:type="dxa"/>
          </w:tblCellMar>
        </w:tblPrEx>
        <w:trPr>
          <w:trHeight w:val="424" w:hRule="atLeast"/>
        </w:trPr>
        <w:tc>
          <w:tcPr>
            <w:tcW w:w="621"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2</w:t>
            </w:r>
          </w:p>
        </w:tc>
        <w:tc>
          <w:tcPr>
            <w:tcW w:w="2986"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东城小学</w:t>
            </w:r>
          </w:p>
        </w:tc>
        <w:tc>
          <w:tcPr>
            <w:tcW w:w="146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2</w:t>
            </w:r>
          </w:p>
        </w:tc>
        <w:tc>
          <w:tcPr>
            <w:tcW w:w="2116"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4539</w:t>
            </w:r>
          </w:p>
        </w:tc>
        <w:tc>
          <w:tcPr>
            <w:tcW w:w="1688"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p>
        </w:tc>
      </w:tr>
      <w:tr>
        <w:tblPrEx>
          <w:tblLayout w:type="fixed"/>
          <w:tblCellMar>
            <w:top w:w="15" w:type="dxa"/>
            <w:left w:w="15" w:type="dxa"/>
            <w:bottom w:w="15" w:type="dxa"/>
            <w:right w:w="15" w:type="dxa"/>
          </w:tblCellMar>
        </w:tblPrEx>
        <w:trPr>
          <w:trHeight w:val="584" w:hRule="atLeast"/>
        </w:trPr>
        <w:tc>
          <w:tcPr>
            <w:tcW w:w="621"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3</w:t>
            </w:r>
          </w:p>
        </w:tc>
        <w:tc>
          <w:tcPr>
            <w:tcW w:w="2986"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东城第三小学</w:t>
            </w:r>
          </w:p>
        </w:tc>
        <w:tc>
          <w:tcPr>
            <w:tcW w:w="146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2</w:t>
            </w:r>
          </w:p>
        </w:tc>
        <w:tc>
          <w:tcPr>
            <w:tcW w:w="2116"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5510.22</w:t>
            </w:r>
          </w:p>
        </w:tc>
        <w:tc>
          <w:tcPr>
            <w:tcW w:w="1688"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p>
        </w:tc>
      </w:tr>
      <w:tr>
        <w:tblPrEx>
          <w:tblLayout w:type="fixed"/>
          <w:tblCellMar>
            <w:top w:w="15" w:type="dxa"/>
            <w:left w:w="15" w:type="dxa"/>
            <w:bottom w:w="15" w:type="dxa"/>
            <w:right w:w="15" w:type="dxa"/>
          </w:tblCellMar>
        </w:tblPrEx>
        <w:trPr>
          <w:trHeight w:val="426" w:hRule="atLeast"/>
        </w:trPr>
        <w:tc>
          <w:tcPr>
            <w:tcW w:w="621"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4</w:t>
            </w:r>
          </w:p>
        </w:tc>
        <w:tc>
          <w:tcPr>
            <w:tcW w:w="2986"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东城一小</w:t>
            </w:r>
          </w:p>
        </w:tc>
        <w:tc>
          <w:tcPr>
            <w:tcW w:w="146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3</w:t>
            </w:r>
          </w:p>
        </w:tc>
        <w:tc>
          <w:tcPr>
            <w:tcW w:w="2116"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6131.93</w:t>
            </w:r>
          </w:p>
        </w:tc>
        <w:tc>
          <w:tcPr>
            <w:tcW w:w="1688"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p>
        </w:tc>
      </w:tr>
      <w:tr>
        <w:tblPrEx>
          <w:tblLayout w:type="fixed"/>
          <w:tblCellMar>
            <w:top w:w="15" w:type="dxa"/>
            <w:left w:w="15" w:type="dxa"/>
            <w:bottom w:w="15" w:type="dxa"/>
            <w:right w:w="15" w:type="dxa"/>
          </w:tblCellMar>
        </w:tblPrEx>
        <w:trPr>
          <w:trHeight w:val="434" w:hRule="atLeast"/>
        </w:trPr>
        <w:tc>
          <w:tcPr>
            <w:tcW w:w="621"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5</w:t>
            </w:r>
          </w:p>
        </w:tc>
        <w:tc>
          <w:tcPr>
            <w:tcW w:w="2986"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东城第五小学</w:t>
            </w:r>
          </w:p>
        </w:tc>
        <w:tc>
          <w:tcPr>
            <w:tcW w:w="146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2</w:t>
            </w:r>
          </w:p>
        </w:tc>
        <w:tc>
          <w:tcPr>
            <w:tcW w:w="2116"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19072.5</w:t>
            </w:r>
          </w:p>
        </w:tc>
        <w:tc>
          <w:tcPr>
            <w:tcW w:w="1688"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p>
        </w:tc>
      </w:tr>
      <w:tr>
        <w:tblPrEx>
          <w:tblLayout w:type="fixed"/>
          <w:tblCellMar>
            <w:top w:w="15" w:type="dxa"/>
            <w:left w:w="15" w:type="dxa"/>
            <w:bottom w:w="15" w:type="dxa"/>
            <w:right w:w="15" w:type="dxa"/>
          </w:tblCellMar>
        </w:tblPrEx>
        <w:trPr>
          <w:trHeight w:val="427" w:hRule="atLeast"/>
        </w:trPr>
        <w:tc>
          <w:tcPr>
            <w:tcW w:w="621"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6</w:t>
            </w:r>
          </w:p>
        </w:tc>
        <w:tc>
          <w:tcPr>
            <w:tcW w:w="2986"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东城第八小学</w:t>
            </w:r>
          </w:p>
        </w:tc>
        <w:tc>
          <w:tcPr>
            <w:tcW w:w="146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5</w:t>
            </w:r>
          </w:p>
        </w:tc>
        <w:tc>
          <w:tcPr>
            <w:tcW w:w="2116"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13770</w:t>
            </w:r>
          </w:p>
        </w:tc>
        <w:tc>
          <w:tcPr>
            <w:tcW w:w="1688"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p>
        </w:tc>
      </w:tr>
      <w:tr>
        <w:tblPrEx>
          <w:tblLayout w:type="fixed"/>
          <w:tblCellMar>
            <w:top w:w="15" w:type="dxa"/>
            <w:left w:w="15" w:type="dxa"/>
            <w:bottom w:w="15" w:type="dxa"/>
            <w:right w:w="15" w:type="dxa"/>
          </w:tblCellMar>
        </w:tblPrEx>
        <w:trPr>
          <w:trHeight w:val="510" w:hRule="atLeast"/>
        </w:trPr>
        <w:tc>
          <w:tcPr>
            <w:tcW w:w="621"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7</w:t>
            </w:r>
          </w:p>
        </w:tc>
        <w:tc>
          <w:tcPr>
            <w:tcW w:w="2986"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东城初级中学</w:t>
            </w:r>
          </w:p>
        </w:tc>
        <w:tc>
          <w:tcPr>
            <w:tcW w:w="146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17</w:t>
            </w:r>
          </w:p>
        </w:tc>
        <w:tc>
          <w:tcPr>
            <w:tcW w:w="2116"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63610.5</w:t>
            </w:r>
          </w:p>
        </w:tc>
        <w:tc>
          <w:tcPr>
            <w:tcW w:w="1688"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p>
        </w:tc>
      </w:tr>
      <w:tr>
        <w:tblPrEx>
          <w:tblLayout w:type="fixed"/>
          <w:tblCellMar>
            <w:top w:w="15" w:type="dxa"/>
            <w:left w:w="15" w:type="dxa"/>
            <w:bottom w:w="15" w:type="dxa"/>
            <w:right w:w="15" w:type="dxa"/>
          </w:tblCellMar>
        </w:tblPrEx>
        <w:trPr>
          <w:trHeight w:val="499" w:hRule="atLeast"/>
        </w:trPr>
        <w:tc>
          <w:tcPr>
            <w:tcW w:w="621"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8</w:t>
            </w:r>
          </w:p>
        </w:tc>
        <w:tc>
          <w:tcPr>
            <w:tcW w:w="2986"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东城一中</w:t>
            </w:r>
          </w:p>
        </w:tc>
        <w:tc>
          <w:tcPr>
            <w:tcW w:w="146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10</w:t>
            </w:r>
          </w:p>
        </w:tc>
        <w:tc>
          <w:tcPr>
            <w:tcW w:w="2116"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23088.45</w:t>
            </w:r>
          </w:p>
        </w:tc>
        <w:tc>
          <w:tcPr>
            <w:tcW w:w="1688"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p>
        </w:tc>
      </w:tr>
      <w:tr>
        <w:tblPrEx>
          <w:tblLayout w:type="fixed"/>
          <w:tblCellMar>
            <w:top w:w="15" w:type="dxa"/>
            <w:left w:w="15" w:type="dxa"/>
            <w:bottom w:w="15" w:type="dxa"/>
            <w:right w:w="15" w:type="dxa"/>
          </w:tblCellMar>
        </w:tblPrEx>
        <w:trPr>
          <w:trHeight w:val="510" w:hRule="atLeast"/>
        </w:trPr>
        <w:tc>
          <w:tcPr>
            <w:tcW w:w="621"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9</w:t>
            </w:r>
          </w:p>
        </w:tc>
        <w:tc>
          <w:tcPr>
            <w:tcW w:w="2986"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东城花园小学</w:t>
            </w:r>
          </w:p>
        </w:tc>
        <w:tc>
          <w:tcPr>
            <w:tcW w:w="146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3</w:t>
            </w:r>
          </w:p>
        </w:tc>
        <w:tc>
          <w:tcPr>
            <w:tcW w:w="2116"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15671</w:t>
            </w:r>
          </w:p>
        </w:tc>
        <w:tc>
          <w:tcPr>
            <w:tcW w:w="1688"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p>
        </w:tc>
      </w:tr>
      <w:tr>
        <w:tblPrEx>
          <w:tblLayout w:type="fixed"/>
          <w:tblCellMar>
            <w:top w:w="15" w:type="dxa"/>
            <w:left w:w="15" w:type="dxa"/>
            <w:bottom w:w="15" w:type="dxa"/>
            <w:right w:w="15" w:type="dxa"/>
          </w:tblCellMar>
        </w:tblPrEx>
        <w:trPr>
          <w:trHeight w:val="510" w:hRule="atLeast"/>
        </w:trPr>
        <w:tc>
          <w:tcPr>
            <w:tcW w:w="3607"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合  计</w:t>
            </w:r>
          </w:p>
        </w:tc>
        <w:tc>
          <w:tcPr>
            <w:tcW w:w="146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46</w:t>
            </w:r>
          </w:p>
        </w:tc>
        <w:tc>
          <w:tcPr>
            <w:tcW w:w="2116"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178556.6</w:t>
            </w:r>
          </w:p>
        </w:tc>
        <w:tc>
          <w:tcPr>
            <w:tcW w:w="1688"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p>
        </w:tc>
      </w:tr>
    </w:tbl>
    <w:p>
      <w:pPr>
        <w:widowControl/>
        <w:wordWrap w:val="0"/>
        <w:spacing w:line="360" w:lineRule="auto"/>
        <w:rPr>
          <w:rFonts w:asciiTheme="majorEastAsia" w:hAnsiTheme="majorEastAsia" w:eastAsiaTheme="majorEastAsia" w:cstheme="majorEastAsia"/>
          <w:b/>
          <w:bCs/>
          <w:sz w:val="22"/>
          <w:szCs w:val="22"/>
        </w:rPr>
      </w:pPr>
      <w:r>
        <w:rPr>
          <w:rFonts w:hint="eastAsia" w:asciiTheme="majorEastAsia" w:hAnsiTheme="majorEastAsia" w:eastAsiaTheme="majorEastAsia" w:cstheme="majorEastAsia"/>
          <w:b/>
          <w:bCs/>
          <w:sz w:val="22"/>
          <w:szCs w:val="22"/>
        </w:rPr>
        <w:t>备注：以上建筑面积仅供参考，实际建筑面积以既有建筑物鉴定单位到现场勘查为准，中标后不得以任何理由增加费用。</w:t>
      </w:r>
    </w:p>
    <w:p>
      <w:pPr>
        <w:widowControl/>
        <w:wordWrap w:val="0"/>
        <w:spacing w:line="360" w:lineRule="auto"/>
        <w:rPr>
          <w:rFonts w:asciiTheme="majorEastAsia" w:hAnsiTheme="majorEastAsia" w:eastAsiaTheme="majorEastAsia" w:cstheme="majorEastAsia"/>
          <w:sz w:val="22"/>
          <w:szCs w:val="22"/>
        </w:rPr>
      </w:pPr>
      <w:r>
        <w:rPr>
          <w:rFonts w:hint="eastAsia" w:asciiTheme="majorEastAsia" w:hAnsiTheme="majorEastAsia" w:eastAsiaTheme="majorEastAsia" w:cstheme="majorEastAsia"/>
          <w:b/>
          <w:bCs/>
          <w:sz w:val="22"/>
          <w:szCs w:val="22"/>
        </w:rPr>
        <w:t>二、既有建筑物结构安全鉴定和抗震评估要求</w:t>
      </w:r>
    </w:p>
    <w:p>
      <w:pPr>
        <w:spacing w:line="360" w:lineRule="auto"/>
        <w:ind w:firstLine="440" w:firstLineChars="200"/>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既有建筑物结构安全鉴定和抗震评估报告必须客观全面反映各栋既有建筑物结构和抗震安全状况，鉴定结论依据应该充分合理客观，鉴定报告达到东莞市住建局备案深度和要求，并完成备案。</w:t>
      </w:r>
    </w:p>
    <w:p>
      <w:pPr>
        <w:spacing w:line="360" w:lineRule="auto"/>
        <w:ind w:firstLine="440" w:firstLineChars="200"/>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鉴定单位应在完成所有安全检查、鉴定和抗震评估结束后，对校园内的既有建筑物在鉴定过程中有所破坏的地方需要无条件按原貌进行恢复。</w:t>
      </w:r>
    </w:p>
    <w:p>
      <w:pPr>
        <w:spacing w:line="360" w:lineRule="auto"/>
        <w:ind w:firstLine="440" w:firstLineChars="200"/>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鉴定单位应积极无偿配合业主方在出具正式的既有建筑物检查、鉴定和抗震评估报告出具后的后续检查整改等相关工作。</w:t>
      </w:r>
    </w:p>
    <w:p>
      <w:pPr>
        <w:spacing w:line="360" w:lineRule="auto"/>
        <w:rPr>
          <w:rFonts w:asciiTheme="majorEastAsia" w:hAnsiTheme="majorEastAsia" w:eastAsiaTheme="majorEastAsia" w:cstheme="majorEastAsia"/>
          <w:b/>
          <w:sz w:val="22"/>
          <w:szCs w:val="22"/>
        </w:rPr>
      </w:pPr>
      <w:r>
        <w:rPr>
          <w:rFonts w:hint="eastAsia" w:asciiTheme="majorEastAsia" w:hAnsiTheme="majorEastAsia" w:eastAsiaTheme="majorEastAsia" w:cstheme="majorEastAsia"/>
          <w:b/>
          <w:sz w:val="22"/>
          <w:szCs w:val="22"/>
        </w:rPr>
        <w:t>三、其他要求</w:t>
      </w:r>
    </w:p>
    <w:p>
      <w:pPr>
        <w:spacing w:line="360" w:lineRule="auto"/>
        <w:ind w:firstLine="440" w:firstLineChars="200"/>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考虑到该项目鉴定完毕后，有部分建筑物需根据鉴定结果进行加固补强设计，中标人需根据鉴定情况提出专业的设计意见及建议。</w:t>
      </w:r>
    </w:p>
    <w:p>
      <w:pPr>
        <w:ind w:firstLine="400" w:firstLineChars="200"/>
        <w:rPr>
          <w:rFonts w:ascii="宋体"/>
        </w:rPr>
      </w:pPr>
    </w:p>
    <w:p>
      <w:pPr>
        <w:spacing w:line="480" w:lineRule="auto"/>
        <w:rPr>
          <w:rFonts w:ascii="宋体"/>
          <w:b/>
          <w:bCs/>
          <w:sz w:val="32"/>
          <w:szCs w:val="32"/>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Arial">
    <w:panose1 w:val="020B0604020202020204"/>
    <w:charset w:val="00"/>
    <w:family w:val="swiss"/>
    <w:pitch w:val="default"/>
    <w:sig w:usb0="E0002A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Courier New">
    <w:panose1 w:val="02070309020205020404"/>
    <w:charset w:val="00"/>
    <w:family w:val="modern"/>
    <w:pitch w:val="default"/>
    <w:sig w:usb0="E0002AFF" w:usb1="C0007843" w:usb2="00000009" w:usb3="00000000" w:csb0="400001FF" w:csb1="FFFF0000"/>
  </w:font>
  <w:font w:name="楷体_GB2312">
    <w:altName w:val="楷体"/>
    <w:panose1 w:val="00000000000000000000"/>
    <w:charset w:val="86"/>
    <w:family w:val="modern"/>
    <w:pitch w:val="default"/>
    <w:sig w:usb0="00000000" w:usb1="00000000" w:usb2="00000000" w:usb3="00000000" w:csb0="00040000" w:csb1="00000000"/>
  </w:font>
  <w:font w:name="Verdana">
    <w:panose1 w:val="020B0604030504040204"/>
    <w:charset w:val="00"/>
    <w:family w:val="swiss"/>
    <w:pitch w:val="default"/>
    <w:sig w:usb0="A10006FF" w:usb1="4000205B" w:usb2="00000010" w:usb3="00000000" w:csb0="2000019F" w:csb1="00000000"/>
  </w:font>
  <w:font w:name="新宋体">
    <w:panose1 w:val="02010609030101010101"/>
    <w:charset w:val="86"/>
    <w:family w:val="modern"/>
    <w:pitch w:val="default"/>
    <w:sig w:usb0="00000003" w:usb1="288F0000" w:usb2="00000006" w:usb3="00000000" w:csb0="00040001"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E557E4"/>
    <w:multiLevelType w:val="multilevel"/>
    <w:tmpl w:val="1BE557E4"/>
    <w:lvl w:ilvl="0" w:tentative="0">
      <w:start w:val="1"/>
      <w:numFmt w:val="japaneseCounting"/>
      <w:lvlText w:val="%1、"/>
      <w:lvlJc w:val="left"/>
      <w:pPr>
        <w:tabs>
          <w:tab w:val="left" w:pos="720"/>
        </w:tabs>
        <w:ind w:left="72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2381163"/>
    <w:rsid w:val="52381163"/>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sz w:val="21"/>
      <w:szCs w:val="22"/>
      <w:lang w:val="en-US" w:eastAsia="zh-CN" w:bidi="ar-SA"/>
    </w:rPr>
  </w:style>
  <w:style w:type="paragraph" w:styleId="2">
    <w:name w:val="heading 2"/>
    <w:basedOn w:val="1"/>
    <w:next w:val="1"/>
    <w:unhideWhenUsed/>
    <w:qFormat/>
    <w:uiPriority w:val="0"/>
    <w:pPr>
      <w:keepNext/>
      <w:keepLines/>
      <w:spacing w:before="260" w:after="260" w:line="1200" w:lineRule="exact"/>
      <w:jc w:val="center"/>
      <w:outlineLvl w:val="1"/>
    </w:pPr>
    <w:rPr>
      <w:rFonts w:ascii="Arial" w:hAnsi="Arial"/>
      <w:b/>
      <w:kern w:val="2"/>
      <w:sz w:val="44"/>
    </w:rPr>
  </w:style>
  <w:style w:type="character" w:default="1" w:styleId="4">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3">
    <w:name w:val="HTML Preformatted"/>
    <w:basedOn w:val="1"/>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微软雅黑" w:hAnsi="微软雅黑" w:eastAsia="微软雅黑"/>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2016-11-01T10:17:00Z</dcterms:created>
  <dc:creator>Administrator</dc:creator>
  <cp:lastModifiedBy>Administrator</cp:lastModifiedBy>
  <dcterms:modified xsi:type="dcterms:W3CDTF">2016-11-01T10:17:53Z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2052-10.1.0.5973</vt:lpwstr>
  </property>
</Properties>
</file>