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sz w:val="44"/>
          <w:szCs w:val="44"/>
        </w:rPr>
      </w:pPr>
    </w:p>
    <w:p>
      <w:pPr>
        <w:pStyle w:val="28"/>
        <w:rPr>
          <w:color w:val="auto"/>
          <w:highlight w:val="none"/>
        </w:rPr>
      </w:pPr>
    </w:p>
    <w:p>
      <w:pPr>
        <w:jc w:val="center"/>
        <w:rPr>
          <w:rFonts w:hint="default"/>
          <w:color w:val="auto"/>
          <w:sz w:val="24"/>
          <w:szCs w:val="32"/>
          <w:highlight w:val="none"/>
          <w:lang w:val="en-US"/>
        </w:rPr>
      </w:pPr>
      <w:r>
        <w:rPr>
          <w:rFonts w:hint="eastAsia" w:ascii="宋体" w:hAnsi="宋体" w:cs="宋体"/>
          <w:b/>
          <w:color w:val="auto"/>
          <w:sz w:val="52"/>
          <w:szCs w:val="52"/>
          <w:highlight w:val="none"/>
          <w:lang w:val="en-US" w:eastAsia="zh-CN"/>
        </w:rPr>
        <w:t>绍兴市</w:t>
      </w:r>
      <w:r>
        <w:rPr>
          <w:rFonts w:hint="eastAsia" w:ascii="宋体" w:hAnsi="宋体" w:cs="宋体"/>
          <w:b/>
          <w:color w:val="auto"/>
          <w:sz w:val="52"/>
          <w:szCs w:val="52"/>
          <w:highlight w:val="none"/>
        </w:rPr>
        <w:t>上虞区</w:t>
      </w:r>
      <w:r>
        <w:rPr>
          <w:rFonts w:hint="eastAsia" w:ascii="宋体" w:hAnsi="宋体" w:cs="宋体"/>
          <w:b/>
          <w:color w:val="auto"/>
          <w:sz w:val="52"/>
          <w:szCs w:val="52"/>
          <w:highlight w:val="none"/>
          <w:lang w:val="en-US" w:eastAsia="zh-CN"/>
        </w:rPr>
        <w:t>应急管理局</w:t>
      </w:r>
      <w:r>
        <w:rPr>
          <w:rFonts w:hint="eastAsia" w:ascii="宋体" w:hAnsi="宋体" w:cs="宋体"/>
          <w:b/>
          <w:color w:val="auto"/>
          <w:sz w:val="52"/>
          <w:szCs w:val="52"/>
          <w:highlight w:val="none"/>
        </w:rPr>
        <w:t>避灾安置场</w:t>
      </w:r>
      <w:r>
        <w:rPr>
          <w:rFonts w:hint="eastAsia" w:ascii="宋体" w:hAnsi="宋体" w:cs="宋体"/>
          <w:b/>
          <w:color w:val="auto"/>
          <w:sz w:val="52"/>
          <w:szCs w:val="52"/>
          <w:highlight w:val="none"/>
          <w:lang w:val="en-US" w:eastAsia="zh-CN"/>
        </w:rPr>
        <w:t>所房屋安全鉴定检测采购项目</w:t>
      </w:r>
    </w:p>
    <w:p>
      <w:pPr>
        <w:pStyle w:val="2"/>
        <w:rPr>
          <w:rFonts w:hAnsi="宋体" w:cs="宋体"/>
          <w:color w:val="auto"/>
          <w:sz w:val="48"/>
          <w:szCs w:val="48"/>
          <w:highlight w:val="none"/>
        </w:rPr>
      </w:pPr>
    </w:p>
    <w:p>
      <w:pPr>
        <w:pStyle w:val="3"/>
        <w:ind w:left="0" w:leftChars="0" w:firstLine="0" w:firstLineChars="0"/>
        <w:rPr>
          <w:rFonts w:ascii="宋体" w:hAnsi="宋体" w:cs="宋体"/>
          <w:b/>
          <w:color w:val="auto"/>
          <w:sz w:val="44"/>
          <w:szCs w:val="44"/>
          <w:highlight w:val="none"/>
        </w:rPr>
      </w:pPr>
    </w:p>
    <w:p>
      <w:pPr>
        <w:pStyle w:val="3"/>
        <w:rPr>
          <w:color w:val="auto"/>
          <w:highlight w:val="none"/>
        </w:rPr>
      </w:pPr>
    </w:p>
    <w:p>
      <w:pPr>
        <w:spacing w:line="360" w:lineRule="auto"/>
        <w:jc w:val="center"/>
        <w:rPr>
          <w:rFonts w:ascii="宋体" w:hAnsi="宋体" w:cs="宋体"/>
          <w:b/>
          <w:color w:val="auto"/>
          <w:sz w:val="24"/>
          <w:highlight w:val="none"/>
        </w:rPr>
      </w:pPr>
      <w:r>
        <w:rPr>
          <w:rFonts w:hint="eastAsia" w:ascii="宋体" w:hAnsi="宋体" w:cs="宋体"/>
          <w:b/>
          <w:color w:val="auto"/>
          <w:sz w:val="72"/>
          <w:szCs w:val="72"/>
          <w:highlight w:val="none"/>
        </w:rPr>
        <w:t>竞争性磋商文件</w:t>
      </w:r>
    </w:p>
    <w:p>
      <w:pPr>
        <w:rPr>
          <w:color w:val="auto"/>
          <w:highlight w:val="none"/>
        </w:rPr>
      </w:pPr>
    </w:p>
    <w:p>
      <w:pPr>
        <w:snapToGrid w:val="0"/>
        <w:spacing w:line="360" w:lineRule="auto"/>
        <w:ind w:firstLine="2301" w:firstLineChars="767"/>
        <w:jc w:val="left"/>
        <w:rPr>
          <w:rFonts w:ascii="宋体" w:hAnsi="宋体" w:cs="宋体"/>
          <w:color w:val="auto"/>
          <w:sz w:val="30"/>
          <w:szCs w:val="30"/>
          <w:highlight w:val="none"/>
        </w:rPr>
      </w:pPr>
      <w:r>
        <w:rPr>
          <w:rFonts w:hint="eastAsia" w:ascii="宋体" w:hAnsi="宋体" w:cs="宋体"/>
          <w:color w:val="auto"/>
          <w:sz w:val="30"/>
          <w:szCs w:val="30"/>
          <w:highlight w:val="none"/>
        </w:rPr>
        <w:t>项目编号：FSZJCS</w:t>
      </w:r>
      <w:bookmarkStart w:id="123" w:name="_GoBack"/>
      <w:bookmarkEnd w:id="123"/>
      <w:r>
        <w:rPr>
          <w:rFonts w:hint="eastAsia" w:ascii="宋体" w:hAnsi="宋体" w:cs="宋体"/>
          <w:color w:val="auto"/>
          <w:sz w:val="30"/>
          <w:szCs w:val="30"/>
          <w:highlight w:val="none"/>
        </w:rPr>
        <w:t>2020050</w:t>
      </w:r>
    </w:p>
    <w:p>
      <w:pPr>
        <w:spacing w:line="360" w:lineRule="auto"/>
        <w:rPr>
          <w:rFonts w:ascii="宋体" w:hAnsi="宋体" w:cs="宋体"/>
          <w:color w:val="auto"/>
          <w:sz w:val="28"/>
          <w:szCs w:val="20"/>
          <w:highlight w:val="none"/>
        </w:rPr>
      </w:pPr>
    </w:p>
    <w:p>
      <w:pPr>
        <w:pStyle w:val="4"/>
        <w:rPr>
          <w:color w:val="auto"/>
          <w:highlight w:val="none"/>
        </w:rPr>
      </w:pPr>
    </w:p>
    <w:p>
      <w:pPr>
        <w:spacing w:line="360" w:lineRule="auto"/>
        <w:jc w:val="both"/>
        <w:rPr>
          <w:rFonts w:ascii="宋体" w:hAnsi="宋体" w:cs="宋体"/>
          <w:color w:val="auto"/>
          <w:sz w:val="24"/>
          <w:highlight w:val="none"/>
        </w:rPr>
      </w:pPr>
    </w:p>
    <w:p>
      <w:pPr>
        <w:spacing w:line="360" w:lineRule="auto"/>
        <w:jc w:val="center"/>
        <w:rPr>
          <w:rFonts w:ascii="宋体" w:hAnsi="宋体" w:cs="宋体"/>
          <w:color w:val="auto"/>
          <w:sz w:val="24"/>
          <w:highlight w:val="none"/>
        </w:rPr>
      </w:pPr>
    </w:p>
    <w:p>
      <w:pPr>
        <w:pStyle w:val="28"/>
        <w:rPr>
          <w:rFonts w:ascii="宋体" w:hAnsi="宋体" w:cs="宋体"/>
          <w:color w:val="auto"/>
          <w:sz w:val="24"/>
          <w:highlight w:val="none"/>
        </w:rPr>
      </w:pPr>
    </w:p>
    <w:p>
      <w:pPr>
        <w:pStyle w:val="28"/>
        <w:rPr>
          <w:rFonts w:ascii="宋体" w:hAnsi="宋体" w:cs="宋体"/>
          <w:color w:val="auto"/>
          <w:sz w:val="24"/>
          <w:highlight w:val="none"/>
        </w:rPr>
      </w:pPr>
    </w:p>
    <w:p>
      <w:pPr>
        <w:pStyle w:val="28"/>
        <w:rPr>
          <w:rFonts w:ascii="宋体" w:hAnsi="宋体" w:cs="宋体"/>
          <w:color w:val="auto"/>
          <w:sz w:val="24"/>
          <w:highlight w:val="none"/>
        </w:rPr>
      </w:pPr>
    </w:p>
    <w:p>
      <w:pPr>
        <w:spacing w:line="360" w:lineRule="auto"/>
        <w:jc w:val="center"/>
        <w:rPr>
          <w:rFonts w:ascii="宋体" w:hAnsi="宋体" w:cs="宋体"/>
          <w:color w:val="auto"/>
          <w:sz w:val="24"/>
          <w:highlight w:val="none"/>
        </w:rPr>
      </w:pPr>
    </w:p>
    <w:p>
      <w:pPr>
        <w:spacing w:line="360" w:lineRule="auto"/>
        <w:rPr>
          <w:rFonts w:ascii="宋体" w:hAnsi="宋体" w:cs="宋体"/>
          <w:color w:val="auto"/>
          <w:sz w:val="24"/>
          <w:highlight w:val="none"/>
        </w:rPr>
      </w:pPr>
    </w:p>
    <w:p>
      <w:pPr>
        <w:snapToGrid w:val="0"/>
        <w:spacing w:line="360" w:lineRule="auto"/>
        <w:jc w:val="center"/>
        <w:rPr>
          <w:rFonts w:hint="eastAsia" w:ascii="宋体" w:hAnsi="宋体" w:cs="宋体"/>
          <w:color w:val="auto"/>
          <w:sz w:val="36"/>
          <w:szCs w:val="36"/>
          <w:highlight w:val="none"/>
          <w:lang w:val="en-US" w:eastAsia="zh-CN"/>
        </w:rPr>
      </w:pPr>
      <w:r>
        <w:rPr>
          <w:rFonts w:hint="eastAsia" w:ascii="宋体" w:hAnsi="宋体" w:cs="宋体"/>
          <w:color w:val="auto"/>
          <w:sz w:val="36"/>
          <w:szCs w:val="36"/>
          <w:highlight w:val="none"/>
        </w:rPr>
        <w:t>采   购   人：</w:t>
      </w:r>
      <w:r>
        <w:rPr>
          <w:rFonts w:hint="eastAsia" w:ascii="宋体" w:hAnsi="宋体" w:cs="宋体"/>
          <w:color w:val="auto"/>
          <w:sz w:val="36"/>
          <w:szCs w:val="36"/>
          <w:highlight w:val="none"/>
          <w:lang w:val="en-US" w:eastAsia="zh-CN"/>
        </w:rPr>
        <w:t>绍兴市上虞区应急管理局</w:t>
      </w:r>
    </w:p>
    <w:p>
      <w:pPr>
        <w:snapToGrid w:val="0"/>
        <w:spacing w:line="360" w:lineRule="auto"/>
        <w:jc w:val="center"/>
        <w:rPr>
          <w:rFonts w:hint="default" w:ascii="宋体" w:hAnsi="宋体" w:eastAsia="宋体" w:cs="宋体"/>
          <w:color w:val="auto"/>
          <w:sz w:val="36"/>
          <w:szCs w:val="36"/>
          <w:highlight w:val="none"/>
          <w:lang w:val="en-US" w:eastAsia="zh-CN"/>
        </w:rPr>
      </w:pPr>
      <w:r>
        <w:rPr>
          <w:rFonts w:hint="eastAsia" w:ascii="宋体" w:hAnsi="宋体" w:cs="宋体"/>
          <w:color w:val="auto"/>
          <w:sz w:val="36"/>
          <w:szCs w:val="36"/>
          <w:highlight w:val="none"/>
        </w:rPr>
        <w:t>采购代理机构：</w:t>
      </w:r>
      <w:r>
        <w:rPr>
          <w:rFonts w:hint="eastAsia" w:ascii="宋体" w:hAnsi="宋体" w:cs="宋体"/>
          <w:color w:val="auto"/>
          <w:sz w:val="36"/>
          <w:szCs w:val="36"/>
          <w:highlight w:val="none"/>
          <w:lang w:val="en-US" w:eastAsia="zh-CN"/>
        </w:rPr>
        <w:t>浙江智杰建设管理有限公司</w:t>
      </w:r>
    </w:p>
    <w:p>
      <w:pPr>
        <w:jc w:val="center"/>
        <w:rPr>
          <w:rFonts w:ascii="宋体" w:hAnsi="宋体" w:cs="宋体"/>
          <w:color w:val="auto"/>
          <w:sz w:val="36"/>
          <w:szCs w:val="36"/>
          <w:highlight w:val="none"/>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cs="宋体"/>
          <w:color w:val="auto"/>
          <w:sz w:val="36"/>
          <w:szCs w:val="36"/>
          <w:highlight w:val="none"/>
        </w:rPr>
        <w:t>二〇二〇年</w:t>
      </w:r>
      <w:r>
        <w:rPr>
          <w:rFonts w:hint="eastAsia" w:ascii="宋体" w:hAnsi="宋体" w:cs="宋体"/>
          <w:color w:val="auto"/>
          <w:sz w:val="36"/>
          <w:szCs w:val="36"/>
          <w:highlight w:val="none"/>
          <w:lang w:val="en-US" w:eastAsia="zh-CN"/>
        </w:rPr>
        <w:t>十二</w:t>
      </w:r>
      <w:r>
        <w:rPr>
          <w:rFonts w:hint="eastAsia" w:ascii="宋体" w:hAnsi="宋体" w:cs="宋体"/>
          <w:color w:val="auto"/>
          <w:sz w:val="36"/>
          <w:szCs w:val="36"/>
          <w:highlight w:val="none"/>
        </w:rPr>
        <w:t>月</w:t>
      </w:r>
    </w:p>
    <w:sdt>
      <w:sdtPr>
        <w:rPr>
          <w:rFonts w:ascii="宋体" w:hAnsi="宋体"/>
          <w:b/>
          <w:bCs w:val="0"/>
          <w:color w:val="auto"/>
          <w:sz w:val="44"/>
          <w:szCs w:val="44"/>
          <w:highlight w:val="none"/>
        </w:rPr>
        <w:id w:val="147478218"/>
        <w:docPartObj>
          <w:docPartGallery w:val="Table of Contents"/>
          <w:docPartUnique/>
        </w:docPartObj>
      </w:sdtPr>
      <w:sdtEndPr>
        <w:rPr>
          <w:rFonts w:ascii="宋体" w:hAnsi="Times New Roman"/>
          <w:b/>
          <w:bCs w:val="0"/>
          <w:color w:val="auto"/>
          <w:sz w:val="28"/>
          <w:szCs w:val="20"/>
          <w:highlight w:val="none"/>
        </w:rPr>
      </w:sdtEndPr>
      <w:sdtContent>
        <w:p>
          <w:pPr>
            <w:spacing w:line="360" w:lineRule="auto"/>
            <w:jc w:val="center"/>
            <w:rPr>
              <w:rFonts w:ascii="宋体" w:hAnsi="宋体" w:cs="宋体"/>
              <w:b/>
              <w:bCs w:val="0"/>
              <w:color w:val="auto"/>
              <w:sz w:val="44"/>
              <w:szCs w:val="44"/>
              <w:highlight w:val="none"/>
            </w:rPr>
          </w:pPr>
          <w:r>
            <w:rPr>
              <w:rFonts w:hint="eastAsia" w:ascii="宋体" w:hAnsi="宋体" w:cs="宋体"/>
              <w:b/>
              <w:bCs w:val="0"/>
              <w:color w:val="auto"/>
              <w:sz w:val="44"/>
              <w:szCs w:val="44"/>
              <w:highlight w:val="none"/>
            </w:rPr>
            <w:t>目  录</w:t>
          </w:r>
        </w:p>
        <w:p>
          <w:pPr>
            <w:pStyle w:val="19"/>
            <w:tabs>
              <w:tab w:val="right" w:leader="dot" w:pos="8306"/>
            </w:tabs>
            <w:rPr>
              <w:color w:val="auto"/>
              <w:sz w:val="28"/>
              <w:szCs w:val="28"/>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TOC \o "1-3" \h \u </w:instrText>
          </w:r>
          <w:r>
            <w:rPr>
              <w:rFonts w:hint="eastAsia" w:ascii="宋体" w:hAnsi="宋体" w:cs="宋体"/>
              <w:color w:val="auto"/>
              <w:sz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"_Toc27204" </w:instrText>
          </w:r>
          <w:r>
            <w:rPr>
              <w:color w:val="auto"/>
              <w:sz w:val="28"/>
              <w:szCs w:val="28"/>
              <w:highlight w:val="none"/>
            </w:rPr>
            <w:fldChar w:fldCharType="separate"/>
          </w:r>
          <w:r>
            <w:rPr>
              <w:rFonts w:hint="eastAsia"/>
              <w:color w:val="auto"/>
              <w:sz w:val="28"/>
              <w:szCs w:val="28"/>
              <w:highlight w:val="none"/>
            </w:rPr>
            <w:t>第一部分 磋商公告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_Toc27204 </w:instrText>
          </w:r>
          <w:r>
            <w:rPr>
              <w:color w:val="auto"/>
              <w:sz w:val="28"/>
              <w:szCs w:val="28"/>
              <w:highlight w:val="none"/>
            </w:rPr>
            <w:fldChar w:fldCharType="separate"/>
          </w:r>
          <w:r>
            <w:rPr>
              <w:color w:val="auto"/>
              <w:sz w:val="28"/>
              <w:szCs w:val="28"/>
              <w:highlight w:val="none"/>
            </w:rPr>
            <w:t>3</w:t>
          </w:r>
          <w:r>
            <w:rPr>
              <w:color w:val="auto"/>
              <w:sz w:val="28"/>
              <w:szCs w:val="28"/>
              <w:highlight w:val="none"/>
            </w:rPr>
            <w:fldChar w:fldCharType="end"/>
          </w:r>
          <w:r>
            <w:rPr>
              <w:color w:val="auto"/>
              <w:sz w:val="28"/>
              <w:szCs w:val="28"/>
              <w:highlight w:val="none"/>
            </w:rPr>
            <w:fldChar w:fldCharType="end"/>
          </w:r>
        </w:p>
        <w:p>
          <w:pPr>
            <w:pStyle w:val="19"/>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"_Toc11190" </w:instrText>
          </w:r>
          <w:r>
            <w:rPr>
              <w:color w:val="auto"/>
              <w:sz w:val="28"/>
              <w:szCs w:val="28"/>
              <w:highlight w:val="none"/>
            </w:rPr>
            <w:fldChar w:fldCharType="separate"/>
          </w:r>
          <w:r>
            <w:rPr>
              <w:rFonts w:hint="eastAsia"/>
              <w:color w:val="auto"/>
              <w:sz w:val="28"/>
              <w:szCs w:val="28"/>
              <w:highlight w:val="none"/>
            </w:rPr>
            <w:t>第二部分 供应商须知</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_Toc11190 </w:instrText>
          </w:r>
          <w:r>
            <w:rPr>
              <w:color w:val="auto"/>
              <w:sz w:val="28"/>
              <w:szCs w:val="28"/>
              <w:highlight w:val="none"/>
            </w:rPr>
            <w:fldChar w:fldCharType="separate"/>
          </w:r>
          <w:r>
            <w:rPr>
              <w:color w:val="auto"/>
              <w:sz w:val="28"/>
              <w:szCs w:val="28"/>
              <w:highlight w:val="none"/>
            </w:rPr>
            <w:t>7</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"_Toc5549" </w:instrText>
          </w:r>
          <w:r>
            <w:rPr>
              <w:color w:val="auto"/>
              <w:sz w:val="28"/>
              <w:szCs w:val="28"/>
              <w:highlight w:val="none"/>
            </w:rPr>
            <w:fldChar w:fldCharType="separate"/>
          </w:r>
          <w:r>
            <w:rPr>
              <w:rFonts w:hint="eastAsia" w:hAnsi="宋体" w:cs="宋体"/>
              <w:color w:val="auto"/>
              <w:sz w:val="28"/>
              <w:szCs w:val="28"/>
              <w:highlight w:val="none"/>
            </w:rPr>
            <w:t>一、 总则</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_Toc5549 </w:instrText>
          </w:r>
          <w:r>
            <w:rPr>
              <w:color w:val="auto"/>
              <w:sz w:val="28"/>
              <w:szCs w:val="28"/>
              <w:highlight w:val="none"/>
            </w:rPr>
            <w:fldChar w:fldCharType="separate"/>
          </w:r>
          <w:r>
            <w:rPr>
              <w:color w:val="auto"/>
              <w:sz w:val="28"/>
              <w:szCs w:val="28"/>
              <w:highlight w:val="none"/>
            </w:rPr>
            <w:t>10</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"_Toc4563" </w:instrText>
          </w:r>
          <w:r>
            <w:rPr>
              <w:color w:val="auto"/>
              <w:sz w:val="28"/>
              <w:szCs w:val="28"/>
              <w:highlight w:val="none"/>
            </w:rPr>
            <w:fldChar w:fldCharType="separate"/>
          </w:r>
          <w:r>
            <w:rPr>
              <w:rFonts w:hint="eastAsia"/>
              <w:color w:val="auto"/>
              <w:sz w:val="28"/>
              <w:szCs w:val="28"/>
              <w:highlight w:val="none"/>
            </w:rPr>
            <w:t>二、竞争性磋商文件</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_Toc4563 </w:instrText>
          </w:r>
          <w:r>
            <w:rPr>
              <w:color w:val="auto"/>
              <w:sz w:val="28"/>
              <w:szCs w:val="28"/>
              <w:highlight w:val="none"/>
            </w:rPr>
            <w:fldChar w:fldCharType="separate"/>
          </w:r>
          <w:r>
            <w:rPr>
              <w:color w:val="auto"/>
              <w:sz w:val="28"/>
              <w:szCs w:val="28"/>
              <w:highlight w:val="none"/>
            </w:rPr>
            <w:t>10</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"_Toc24691" </w:instrText>
          </w:r>
          <w:r>
            <w:rPr>
              <w:color w:val="auto"/>
              <w:sz w:val="28"/>
              <w:szCs w:val="28"/>
              <w:highlight w:val="none"/>
            </w:rPr>
            <w:fldChar w:fldCharType="separate"/>
          </w:r>
          <w:r>
            <w:rPr>
              <w:rFonts w:hint="eastAsia"/>
              <w:color w:val="auto"/>
              <w:sz w:val="28"/>
              <w:szCs w:val="28"/>
              <w:highlight w:val="none"/>
            </w:rPr>
            <w:t>三、竞争性磋商响应文件的编写</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_Toc24691 </w:instrText>
          </w:r>
          <w:r>
            <w:rPr>
              <w:color w:val="auto"/>
              <w:sz w:val="28"/>
              <w:szCs w:val="28"/>
              <w:highlight w:val="none"/>
            </w:rPr>
            <w:fldChar w:fldCharType="separate"/>
          </w:r>
          <w:r>
            <w:rPr>
              <w:color w:val="auto"/>
              <w:sz w:val="28"/>
              <w:szCs w:val="28"/>
              <w:highlight w:val="none"/>
            </w:rPr>
            <w:t>11</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"_Toc6097" </w:instrText>
          </w:r>
          <w:r>
            <w:rPr>
              <w:color w:val="auto"/>
              <w:sz w:val="28"/>
              <w:szCs w:val="28"/>
              <w:highlight w:val="none"/>
            </w:rPr>
            <w:fldChar w:fldCharType="separate"/>
          </w:r>
          <w:r>
            <w:rPr>
              <w:rFonts w:hint="eastAsia"/>
              <w:color w:val="auto"/>
              <w:sz w:val="28"/>
              <w:szCs w:val="28"/>
              <w:highlight w:val="none"/>
            </w:rPr>
            <w:t>四、响应文件的递交</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_Toc6097 </w:instrText>
          </w:r>
          <w:r>
            <w:rPr>
              <w:color w:val="auto"/>
              <w:sz w:val="28"/>
              <w:szCs w:val="28"/>
              <w:highlight w:val="none"/>
            </w:rPr>
            <w:fldChar w:fldCharType="separate"/>
          </w:r>
          <w:r>
            <w:rPr>
              <w:color w:val="auto"/>
              <w:sz w:val="28"/>
              <w:szCs w:val="28"/>
              <w:highlight w:val="none"/>
            </w:rPr>
            <w:t>15</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"_Toc680" </w:instrText>
          </w:r>
          <w:r>
            <w:rPr>
              <w:color w:val="auto"/>
              <w:sz w:val="28"/>
              <w:szCs w:val="28"/>
              <w:highlight w:val="none"/>
            </w:rPr>
            <w:fldChar w:fldCharType="separate"/>
          </w:r>
          <w:r>
            <w:rPr>
              <w:rFonts w:hint="eastAsia"/>
              <w:color w:val="auto"/>
              <w:sz w:val="28"/>
              <w:szCs w:val="28"/>
              <w:highlight w:val="none"/>
            </w:rPr>
            <w:t>五、磋商无效的情形</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_Toc680 </w:instrText>
          </w:r>
          <w:r>
            <w:rPr>
              <w:color w:val="auto"/>
              <w:sz w:val="28"/>
              <w:szCs w:val="28"/>
              <w:highlight w:val="none"/>
            </w:rPr>
            <w:fldChar w:fldCharType="separate"/>
          </w:r>
          <w:r>
            <w:rPr>
              <w:color w:val="auto"/>
              <w:sz w:val="28"/>
              <w:szCs w:val="28"/>
              <w:highlight w:val="none"/>
            </w:rPr>
            <w:t>16</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"_Toc24378" </w:instrText>
          </w:r>
          <w:r>
            <w:rPr>
              <w:color w:val="auto"/>
              <w:sz w:val="28"/>
              <w:szCs w:val="28"/>
              <w:highlight w:val="none"/>
            </w:rPr>
            <w:fldChar w:fldCharType="separate"/>
          </w:r>
          <w:r>
            <w:rPr>
              <w:rFonts w:hint="eastAsia"/>
              <w:color w:val="auto"/>
              <w:sz w:val="28"/>
              <w:szCs w:val="28"/>
              <w:highlight w:val="none"/>
            </w:rPr>
            <w:t>六、采购中止的情形</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_Toc24378 </w:instrText>
          </w:r>
          <w:r>
            <w:rPr>
              <w:color w:val="auto"/>
              <w:sz w:val="28"/>
              <w:szCs w:val="28"/>
              <w:highlight w:val="none"/>
            </w:rPr>
            <w:fldChar w:fldCharType="separate"/>
          </w:r>
          <w:r>
            <w:rPr>
              <w:color w:val="auto"/>
              <w:sz w:val="28"/>
              <w:szCs w:val="28"/>
              <w:highlight w:val="none"/>
            </w:rPr>
            <w:t>17</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"_Toc17010" </w:instrText>
          </w:r>
          <w:r>
            <w:rPr>
              <w:color w:val="auto"/>
              <w:sz w:val="28"/>
              <w:szCs w:val="28"/>
              <w:highlight w:val="none"/>
            </w:rPr>
            <w:fldChar w:fldCharType="separate"/>
          </w:r>
          <w:r>
            <w:rPr>
              <w:rFonts w:hint="eastAsia"/>
              <w:color w:val="auto"/>
              <w:sz w:val="28"/>
              <w:szCs w:val="28"/>
              <w:highlight w:val="none"/>
            </w:rPr>
            <w:t>七、确定成交供应商与签订合同</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_Toc17010 </w:instrText>
          </w:r>
          <w:r>
            <w:rPr>
              <w:color w:val="auto"/>
              <w:sz w:val="28"/>
              <w:szCs w:val="28"/>
              <w:highlight w:val="none"/>
            </w:rPr>
            <w:fldChar w:fldCharType="separate"/>
          </w:r>
          <w:r>
            <w:rPr>
              <w:color w:val="auto"/>
              <w:sz w:val="28"/>
              <w:szCs w:val="28"/>
              <w:highlight w:val="none"/>
            </w:rPr>
            <w:t>17</w:t>
          </w:r>
          <w:r>
            <w:rPr>
              <w:color w:val="auto"/>
              <w:sz w:val="28"/>
              <w:szCs w:val="28"/>
              <w:highlight w:val="none"/>
            </w:rPr>
            <w:fldChar w:fldCharType="end"/>
          </w:r>
          <w:r>
            <w:rPr>
              <w:color w:val="auto"/>
              <w:sz w:val="28"/>
              <w:szCs w:val="28"/>
              <w:highlight w:val="none"/>
            </w:rPr>
            <w:fldChar w:fldCharType="end"/>
          </w:r>
        </w:p>
        <w:p>
          <w:pPr>
            <w:pStyle w:val="19"/>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"_Toc32115" </w:instrText>
          </w:r>
          <w:r>
            <w:rPr>
              <w:color w:val="auto"/>
              <w:sz w:val="28"/>
              <w:szCs w:val="28"/>
              <w:highlight w:val="none"/>
            </w:rPr>
            <w:fldChar w:fldCharType="separate"/>
          </w:r>
          <w:r>
            <w:rPr>
              <w:rFonts w:hint="eastAsia"/>
              <w:color w:val="auto"/>
              <w:sz w:val="28"/>
              <w:szCs w:val="28"/>
              <w:highlight w:val="none"/>
            </w:rPr>
            <w:t>第三部分 采购内容及要求</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_Toc32115 </w:instrText>
          </w:r>
          <w:r>
            <w:rPr>
              <w:color w:val="auto"/>
              <w:sz w:val="28"/>
              <w:szCs w:val="28"/>
              <w:highlight w:val="none"/>
            </w:rPr>
            <w:fldChar w:fldCharType="separate"/>
          </w:r>
          <w:r>
            <w:rPr>
              <w:color w:val="auto"/>
              <w:sz w:val="28"/>
              <w:szCs w:val="28"/>
              <w:highlight w:val="none"/>
            </w:rPr>
            <w:t>19</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"_Toc28710" </w:instrText>
          </w:r>
          <w:r>
            <w:rPr>
              <w:color w:val="auto"/>
              <w:sz w:val="28"/>
              <w:szCs w:val="28"/>
              <w:highlight w:val="none"/>
            </w:rPr>
            <w:fldChar w:fldCharType="separate"/>
          </w:r>
          <w:r>
            <w:rPr>
              <w:color w:val="auto"/>
              <w:sz w:val="28"/>
              <w:szCs w:val="28"/>
              <w:highlight w:val="none"/>
            </w:rPr>
            <w:t xml:space="preserve">第一章 </w:t>
          </w:r>
          <w:r>
            <w:rPr>
              <w:rFonts w:hint="eastAsia"/>
              <w:color w:val="auto"/>
              <w:sz w:val="28"/>
              <w:szCs w:val="28"/>
              <w:highlight w:val="none"/>
            </w:rPr>
            <w:t>采购内容及要求</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_Toc28710 </w:instrText>
          </w:r>
          <w:r>
            <w:rPr>
              <w:color w:val="auto"/>
              <w:sz w:val="28"/>
              <w:szCs w:val="28"/>
              <w:highlight w:val="none"/>
            </w:rPr>
            <w:fldChar w:fldCharType="separate"/>
          </w:r>
          <w:r>
            <w:rPr>
              <w:color w:val="auto"/>
              <w:sz w:val="28"/>
              <w:szCs w:val="28"/>
              <w:highlight w:val="none"/>
            </w:rPr>
            <w:t>19</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"_Toc30684" </w:instrText>
          </w:r>
          <w:r>
            <w:rPr>
              <w:color w:val="auto"/>
              <w:sz w:val="28"/>
              <w:szCs w:val="28"/>
              <w:highlight w:val="none"/>
            </w:rPr>
            <w:fldChar w:fldCharType="separate"/>
          </w:r>
          <w:r>
            <w:rPr>
              <w:rFonts w:ascii="宋体"/>
              <w:color w:val="auto"/>
              <w:kern w:val="0"/>
              <w:sz w:val="28"/>
              <w:szCs w:val="28"/>
              <w:highlight w:val="none"/>
            </w:rPr>
            <w:t xml:space="preserve">第二章 </w:t>
          </w:r>
          <w:r>
            <w:rPr>
              <w:rFonts w:hint="eastAsia" w:ascii="宋体"/>
              <w:color w:val="auto"/>
              <w:kern w:val="0"/>
              <w:sz w:val="28"/>
              <w:szCs w:val="28"/>
              <w:highlight w:val="none"/>
            </w:rPr>
            <w:t>付款方式及要求</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_Toc30684 </w:instrText>
          </w:r>
          <w:r>
            <w:rPr>
              <w:color w:val="auto"/>
              <w:sz w:val="28"/>
              <w:szCs w:val="28"/>
              <w:highlight w:val="none"/>
            </w:rPr>
            <w:fldChar w:fldCharType="separate"/>
          </w:r>
          <w:r>
            <w:rPr>
              <w:color w:val="auto"/>
              <w:sz w:val="28"/>
              <w:szCs w:val="28"/>
              <w:highlight w:val="none"/>
            </w:rPr>
            <w:t>29</w:t>
          </w:r>
          <w:r>
            <w:rPr>
              <w:color w:val="auto"/>
              <w:sz w:val="28"/>
              <w:szCs w:val="28"/>
              <w:highlight w:val="none"/>
            </w:rPr>
            <w:fldChar w:fldCharType="end"/>
          </w:r>
          <w:r>
            <w:rPr>
              <w:color w:val="auto"/>
              <w:sz w:val="28"/>
              <w:szCs w:val="28"/>
              <w:highlight w:val="none"/>
            </w:rPr>
            <w:fldChar w:fldCharType="end"/>
          </w:r>
        </w:p>
        <w:p>
          <w:pPr>
            <w:pStyle w:val="19"/>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"_Toc8319" </w:instrText>
          </w:r>
          <w:r>
            <w:rPr>
              <w:color w:val="auto"/>
              <w:sz w:val="28"/>
              <w:szCs w:val="28"/>
              <w:highlight w:val="none"/>
            </w:rPr>
            <w:fldChar w:fldCharType="separate"/>
          </w:r>
          <w:r>
            <w:rPr>
              <w:rFonts w:hint="eastAsia"/>
              <w:color w:val="auto"/>
              <w:sz w:val="28"/>
              <w:szCs w:val="28"/>
              <w:highlight w:val="none"/>
            </w:rPr>
            <w:t>第四部分 磋商原则及磋商方法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_Toc8319 </w:instrText>
          </w:r>
          <w:r>
            <w:rPr>
              <w:color w:val="auto"/>
              <w:sz w:val="28"/>
              <w:szCs w:val="28"/>
              <w:highlight w:val="none"/>
            </w:rPr>
            <w:fldChar w:fldCharType="separate"/>
          </w:r>
          <w:r>
            <w:rPr>
              <w:color w:val="auto"/>
              <w:sz w:val="28"/>
              <w:szCs w:val="28"/>
              <w:highlight w:val="none"/>
            </w:rPr>
            <w:t>30</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"_Toc2483" </w:instrText>
          </w:r>
          <w:r>
            <w:rPr>
              <w:color w:val="auto"/>
              <w:sz w:val="28"/>
              <w:szCs w:val="28"/>
              <w:highlight w:val="none"/>
            </w:rPr>
            <w:fldChar w:fldCharType="separate"/>
          </w:r>
          <w:r>
            <w:rPr>
              <w:rFonts w:hint="eastAsia"/>
              <w:color w:val="auto"/>
              <w:sz w:val="28"/>
              <w:szCs w:val="28"/>
              <w:highlight w:val="none"/>
            </w:rPr>
            <w:t>一、 磋商原则</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_Toc2483 </w:instrText>
          </w:r>
          <w:r>
            <w:rPr>
              <w:color w:val="auto"/>
              <w:sz w:val="28"/>
              <w:szCs w:val="28"/>
              <w:highlight w:val="none"/>
            </w:rPr>
            <w:fldChar w:fldCharType="separate"/>
          </w:r>
          <w:r>
            <w:rPr>
              <w:color w:val="auto"/>
              <w:sz w:val="28"/>
              <w:szCs w:val="28"/>
              <w:highlight w:val="none"/>
            </w:rPr>
            <w:t>30</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"_Toc32108" </w:instrText>
          </w:r>
          <w:r>
            <w:rPr>
              <w:color w:val="auto"/>
              <w:sz w:val="28"/>
              <w:szCs w:val="28"/>
              <w:highlight w:val="none"/>
            </w:rPr>
            <w:fldChar w:fldCharType="separate"/>
          </w:r>
          <w:r>
            <w:rPr>
              <w:rFonts w:hint="eastAsia"/>
              <w:color w:val="auto"/>
              <w:sz w:val="28"/>
              <w:szCs w:val="28"/>
              <w:highlight w:val="none"/>
            </w:rPr>
            <w:t>二、磋商程序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_Toc32108 </w:instrText>
          </w:r>
          <w:r>
            <w:rPr>
              <w:color w:val="auto"/>
              <w:sz w:val="28"/>
              <w:szCs w:val="28"/>
              <w:highlight w:val="none"/>
            </w:rPr>
            <w:fldChar w:fldCharType="separate"/>
          </w:r>
          <w:r>
            <w:rPr>
              <w:color w:val="auto"/>
              <w:sz w:val="28"/>
              <w:szCs w:val="28"/>
              <w:highlight w:val="none"/>
            </w:rPr>
            <w:t>31</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"_Toc18995" </w:instrText>
          </w:r>
          <w:r>
            <w:rPr>
              <w:color w:val="auto"/>
              <w:sz w:val="28"/>
              <w:szCs w:val="28"/>
              <w:highlight w:val="none"/>
            </w:rPr>
            <w:fldChar w:fldCharType="separate"/>
          </w:r>
          <w:r>
            <w:rPr>
              <w:rFonts w:hint="eastAsia"/>
              <w:color w:val="auto"/>
              <w:sz w:val="28"/>
              <w:szCs w:val="28"/>
              <w:highlight w:val="none"/>
            </w:rPr>
            <w:t>三、注意事项</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_Toc18995 </w:instrText>
          </w:r>
          <w:r>
            <w:rPr>
              <w:color w:val="auto"/>
              <w:sz w:val="28"/>
              <w:szCs w:val="28"/>
              <w:highlight w:val="none"/>
            </w:rPr>
            <w:fldChar w:fldCharType="separate"/>
          </w:r>
          <w:r>
            <w:rPr>
              <w:color w:val="auto"/>
              <w:sz w:val="28"/>
              <w:szCs w:val="28"/>
              <w:highlight w:val="none"/>
            </w:rPr>
            <w:t>34</w:t>
          </w:r>
          <w:r>
            <w:rPr>
              <w:color w:val="auto"/>
              <w:sz w:val="28"/>
              <w:szCs w:val="28"/>
              <w:highlight w:val="none"/>
            </w:rPr>
            <w:fldChar w:fldCharType="end"/>
          </w:r>
          <w:r>
            <w:rPr>
              <w:color w:val="auto"/>
              <w:sz w:val="28"/>
              <w:szCs w:val="28"/>
              <w:highlight w:val="none"/>
            </w:rPr>
            <w:fldChar w:fldCharType="end"/>
          </w:r>
        </w:p>
        <w:p>
          <w:pPr>
            <w:pStyle w:val="20"/>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"_Toc2616" </w:instrText>
          </w:r>
          <w:r>
            <w:rPr>
              <w:color w:val="auto"/>
              <w:sz w:val="28"/>
              <w:szCs w:val="28"/>
              <w:highlight w:val="none"/>
            </w:rPr>
            <w:fldChar w:fldCharType="separate"/>
          </w:r>
          <w:r>
            <w:rPr>
              <w:rFonts w:hint="eastAsia"/>
              <w:color w:val="auto"/>
              <w:sz w:val="28"/>
              <w:szCs w:val="28"/>
              <w:highlight w:val="none"/>
            </w:rPr>
            <w:t>四、 评分细则</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_Toc2616 </w:instrText>
          </w:r>
          <w:r>
            <w:rPr>
              <w:color w:val="auto"/>
              <w:sz w:val="28"/>
              <w:szCs w:val="28"/>
              <w:highlight w:val="none"/>
            </w:rPr>
            <w:fldChar w:fldCharType="separate"/>
          </w:r>
          <w:r>
            <w:rPr>
              <w:color w:val="auto"/>
              <w:sz w:val="28"/>
              <w:szCs w:val="28"/>
              <w:highlight w:val="none"/>
            </w:rPr>
            <w:t>34</w:t>
          </w:r>
          <w:r>
            <w:rPr>
              <w:color w:val="auto"/>
              <w:sz w:val="28"/>
              <w:szCs w:val="28"/>
              <w:highlight w:val="none"/>
            </w:rPr>
            <w:fldChar w:fldCharType="end"/>
          </w:r>
          <w:r>
            <w:rPr>
              <w:color w:val="auto"/>
              <w:sz w:val="28"/>
              <w:szCs w:val="28"/>
              <w:highlight w:val="none"/>
            </w:rPr>
            <w:fldChar w:fldCharType="end"/>
          </w:r>
        </w:p>
        <w:p>
          <w:pPr>
            <w:pStyle w:val="19"/>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"_Toc15498" </w:instrText>
          </w:r>
          <w:r>
            <w:rPr>
              <w:color w:val="auto"/>
              <w:sz w:val="28"/>
              <w:szCs w:val="28"/>
              <w:highlight w:val="none"/>
            </w:rPr>
            <w:fldChar w:fldCharType="separate"/>
          </w:r>
          <w:r>
            <w:rPr>
              <w:rFonts w:hint="eastAsia"/>
              <w:color w:val="auto"/>
              <w:sz w:val="28"/>
              <w:szCs w:val="28"/>
              <w:highlight w:val="none"/>
            </w:rPr>
            <w:t>第五部分 采购合同</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_Toc15498 </w:instrText>
          </w:r>
          <w:r>
            <w:rPr>
              <w:color w:val="auto"/>
              <w:sz w:val="28"/>
              <w:szCs w:val="28"/>
              <w:highlight w:val="none"/>
            </w:rPr>
            <w:fldChar w:fldCharType="separate"/>
          </w:r>
          <w:r>
            <w:rPr>
              <w:color w:val="auto"/>
              <w:sz w:val="28"/>
              <w:szCs w:val="28"/>
              <w:highlight w:val="none"/>
            </w:rPr>
            <w:t>39</w:t>
          </w:r>
          <w:r>
            <w:rPr>
              <w:color w:val="auto"/>
              <w:sz w:val="28"/>
              <w:szCs w:val="28"/>
              <w:highlight w:val="none"/>
            </w:rPr>
            <w:fldChar w:fldCharType="end"/>
          </w:r>
          <w:r>
            <w:rPr>
              <w:color w:val="auto"/>
              <w:sz w:val="28"/>
              <w:szCs w:val="28"/>
              <w:highlight w:val="none"/>
            </w:rPr>
            <w:fldChar w:fldCharType="end"/>
          </w:r>
        </w:p>
        <w:p>
          <w:pPr>
            <w:pStyle w:val="19"/>
            <w:tabs>
              <w:tab w:val="right" w:leader="dot" w:pos="8306"/>
            </w:tabs>
            <w:rPr>
              <w:color w:val="auto"/>
              <w:sz w:val="28"/>
              <w:szCs w:val="28"/>
              <w:highlight w:val="none"/>
            </w:rPr>
          </w:pPr>
          <w:r>
            <w:rPr>
              <w:color w:val="auto"/>
              <w:sz w:val="28"/>
              <w:szCs w:val="28"/>
              <w:highlight w:val="none"/>
            </w:rPr>
            <w:fldChar w:fldCharType="begin"/>
          </w:r>
          <w:r>
            <w:rPr>
              <w:color w:val="auto"/>
              <w:sz w:val="28"/>
              <w:szCs w:val="28"/>
              <w:highlight w:val="none"/>
            </w:rPr>
            <w:instrText xml:space="preserve"> HYPERLINK \l "_Toc24101" </w:instrText>
          </w:r>
          <w:r>
            <w:rPr>
              <w:color w:val="auto"/>
              <w:sz w:val="28"/>
              <w:szCs w:val="28"/>
              <w:highlight w:val="none"/>
            </w:rPr>
            <w:fldChar w:fldCharType="separate"/>
          </w:r>
          <w:r>
            <w:rPr>
              <w:rFonts w:hint="eastAsia"/>
              <w:color w:val="auto"/>
              <w:sz w:val="28"/>
              <w:szCs w:val="28"/>
              <w:highlight w:val="none"/>
            </w:rPr>
            <w:t>第六部分 应提交的有关格式范例</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_Toc24101 </w:instrText>
          </w:r>
          <w:r>
            <w:rPr>
              <w:color w:val="auto"/>
              <w:sz w:val="28"/>
              <w:szCs w:val="28"/>
              <w:highlight w:val="none"/>
            </w:rPr>
            <w:fldChar w:fldCharType="separate"/>
          </w:r>
          <w:r>
            <w:rPr>
              <w:color w:val="auto"/>
              <w:sz w:val="28"/>
              <w:szCs w:val="28"/>
              <w:highlight w:val="none"/>
            </w:rPr>
            <w:t>41</w:t>
          </w:r>
          <w:r>
            <w:rPr>
              <w:color w:val="auto"/>
              <w:sz w:val="28"/>
              <w:szCs w:val="28"/>
              <w:highlight w:val="none"/>
            </w:rPr>
            <w:fldChar w:fldCharType="end"/>
          </w:r>
          <w:r>
            <w:rPr>
              <w:color w:val="auto"/>
              <w:sz w:val="28"/>
              <w:szCs w:val="28"/>
              <w:highlight w:val="none"/>
            </w:rPr>
            <w:fldChar w:fldCharType="end"/>
          </w:r>
        </w:p>
        <w:p>
          <w:pPr>
            <w:pStyle w:val="2"/>
            <w:spacing w:line="360" w:lineRule="auto"/>
            <w:rPr>
              <w:color w:val="auto"/>
              <w:highlight w:val="none"/>
            </w:rPr>
            <w:sectPr>
              <w:pgSz w:w="11906" w:h="16838"/>
              <w:pgMar w:top="1440" w:right="1800" w:bottom="1440" w:left="1800" w:header="851" w:footer="992" w:gutter="0"/>
              <w:cols w:space="425" w:num="1"/>
              <w:docGrid w:type="lines" w:linePitch="312" w:charSpace="0"/>
            </w:sectPr>
          </w:pPr>
          <w:r>
            <w:rPr>
              <w:rFonts w:hint="eastAsia" w:hAnsi="宋体" w:cs="宋体"/>
              <w:color w:val="auto"/>
              <w:szCs w:val="24"/>
              <w:highlight w:val="none"/>
            </w:rPr>
            <w:fldChar w:fldCharType="end"/>
          </w:r>
        </w:p>
      </w:sdtContent>
    </w:sdt>
    <w:p>
      <w:pPr>
        <w:pStyle w:val="4"/>
        <w:jc w:val="center"/>
        <w:rPr>
          <w:rFonts w:ascii="宋体" w:hAnsi="宋体" w:cs="宋体"/>
          <w:color w:val="auto"/>
          <w:szCs w:val="20"/>
          <w:highlight w:val="none"/>
        </w:rPr>
      </w:pPr>
      <w:bookmarkStart w:id="0" w:name="_Toc32199"/>
      <w:bookmarkStart w:id="1" w:name="_Toc27204"/>
      <w:bookmarkStart w:id="2" w:name="第二部分"/>
      <w:bookmarkStart w:id="3" w:name="_Toc91899870"/>
      <w:r>
        <w:rPr>
          <w:rFonts w:hint="eastAsia"/>
          <w:color w:val="auto"/>
          <w:sz w:val="36"/>
          <w:szCs w:val="21"/>
          <w:highlight w:val="none"/>
        </w:rPr>
        <w:t>第一部分 磋商公告</w:t>
      </w:r>
      <w:bookmarkEnd w:id="0"/>
      <w:bookmarkEnd w:id="1"/>
    </w:p>
    <w:p>
      <w:pPr>
        <w:jc w:val="center"/>
        <w:rPr>
          <w:rFonts w:ascii="宋体" w:hAnsi="宋体" w:cs="宋体"/>
          <w:color w:val="auto"/>
          <w:sz w:val="28"/>
          <w:szCs w:val="28"/>
          <w:highlight w:val="none"/>
        </w:rPr>
      </w:pPr>
      <w:r>
        <w:rPr>
          <w:rFonts w:hint="eastAsia" w:ascii="宋体" w:hAnsi="宋体" w:cs="宋体"/>
          <w:color w:val="auto"/>
          <w:sz w:val="28"/>
          <w:szCs w:val="28"/>
          <w:highlight w:val="none"/>
          <w:lang w:val="en-US" w:eastAsia="zh-CN"/>
        </w:rPr>
        <w:t>浙江智杰建设管理有限公司</w:t>
      </w:r>
      <w:r>
        <w:rPr>
          <w:rFonts w:hint="eastAsia" w:ascii="宋体" w:hAnsi="宋体" w:cs="宋体"/>
          <w:color w:val="auto"/>
          <w:sz w:val="28"/>
          <w:szCs w:val="28"/>
          <w:highlight w:val="none"/>
        </w:rPr>
        <w:t>关于绍兴市上虞区</w:t>
      </w:r>
      <w:r>
        <w:rPr>
          <w:rFonts w:hint="eastAsia" w:ascii="宋体" w:hAnsi="宋体" w:cs="宋体"/>
          <w:color w:val="auto"/>
          <w:sz w:val="28"/>
          <w:szCs w:val="28"/>
          <w:highlight w:val="none"/>
          <w:lang w:val="en-US" w:eastAsia="zh-CN"/>
        </w:rPr>
        <w:t>应急管理局绍兴市上虞区应急管理局避灾安置场所房屋安全鉴定检测采购项目的</w:t>
      </w:r>
      <w:r>
        <w:rPr>
          <w:rFonts w:hint="eastAsia" w:ascii="宋体" w:hAnsi="宋体" w:cs="宋体"/>
          <w:color w:val="auto"/>
          <w:sz w:val="28"/>
          <w:szCs w:val="28"/>
          <w:highlight w:val="none"/>
        </w:rPr>
        <w:t>竞争性磋商公告</w:t>
      </w:r>
    </w:p>
    <w:p>
      <w:pPr>
        <w:adjustRightInd w:val="0"/>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公告日期：202</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年</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月</w:t>
      </w:r>
      <w:r>
        <w:rPr>
          <w:rFonts w:hint="eastAsia" w:ascii="宋体" w:hAnsi="宋体" w:cs="宋体"/>
          <w:color w:val="auto"/>
          <w:sz w:val="28"/>
          <w:szCs w:val="28"/>
          <w:highlight w:val="none"/>
          <w:lang w:val="en-US" w:eastAsia="zh-CN"/>
        </w:rPr>
        <w:t>4</w:t>
      </w:r>
      <w:r>
        <w:rPr>
          <w:rFonts w:hint="eastAsia" w:ascii="宋体" w:hAnsi="宋体" w:cs="宋体"/>
          <w:color w:val="auto"/>
          <w:sz w:val="28"/>
          <w:szCs w:val="28"/>
          <w:highlight w:val="none"/>
        </w:rPr>
        <w:t>日</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根据《中华人民共和国政府采购法》等有关规定，</w:t>
      </w:r>
      <w:r>
        <w:rPr>
          <w:rFonts w:hint="eastAsia" w:ascii="宋体" w:hAnsi="宋体" w:cs="宋体"/>
          <w:color w:val="auto"/>
          <w:sz w:val="24"/>
          <w:highlight w:val="none"/>
          <w:u w:val="single"/>
          <w:lang w:val="en-US" w:eastAsia="zh-CN"/>
        </w:rPr>
        <w:t>浙江智杰建设管理</w:t>
      </w:r>
      <w:r>
        <w:rPr>
          <w:rFonts w:hint="eastAsia" w:ascii="宋体" w:hAnsi="宋体" w:cs="宋体"/>
          <w:color w:val="auto"/>
          <w:sz w:val="24"/>
          <w:highlight w:val="none"/>
          <w:u w:val="single"/>
        </w:rPr>
        <w:t>有限公司</w:t>
      </w:r>
      <w:r>
        <w:rPr>
          <w:rFonts w:hint="eastAsia" w:ascii="宋体" w:hAnsi="宋体" w:cs="宋体"/>
          <w:color w:val="auto"/>
          <w:sz w:val="24"/>
          <w:highlight w:val="none"/>
        </w:rPr>
        <w:t>受</w:t>
      </w:r>
      <w:r>
        <w:rPr>
          <w:rFonts w:hint="eastAsia" w:ascii="宋体" w:hAnsi="宋体" w:cs="宋体"/>
          <w:color w:val="auto"/>
          <w:sz w:val="24"/>
          <w:highlight w:val="none"/>
          <w:u w:val="single"/>
        </w:rPr>
        <w:t>绍兴市上虞区</w:t>
      </w:r>
      <w:r>
        <w:rPr>
          <w:rFonts w:hint="eastAsia" w:ascii="宋体" w:hAnsi="宋体" w:cs="宋体"/>
          <w:color w:val="auto"/>
          <w:sz w:val="24"/>
          <w:highlight w:val="none"/>
          <w:u w:val="single"/>
          <w:lang w:val="en-US" w:eastAsia="zh-CN"/>
        </w:rPr>
        <w:t>应急管理局</w:t>
      </w:r>
      <w:r>
        <w:rPr>
          <w:rFonts w:hint="eastAsia" w:ascii="宋体" w:hAnsi="宋体" w:cs="宋体"/>
          <w:color w:val="auto"/>
          <w:sz w:val="24"/>
          <w:highlight w:val="none"/>
        </w:rPr>
        <w:t>委托，现就</w:t>
      </w:r>
      <w:r>
        <w:rPr>
          <w:rFonts w:hint="eastAsia" w:ascii="宋体" w:hAnsi="宋体" w:cs="宋体"/>
          <w:color w:val="auto"/>
          <w:sz w:val="24"/>
          <w:highlight w:val="none"/>
          <w:u w:val="single"/>
          <w:lang w:val="en-US" w:eastAsia="zh-CN"/>
        </w:rPr>
        <w:t>绍兴市上虞区应急管理局避灾安置场所房屋安全鉴定检测采购项目</w:t>
      </w:r>
      <w:r>
        <w:rPr>
          <w:rFonts w:hint="eastAsia" w:ascii="宋体" w:hAnsi="宋体" w:cs="宋体"/>
          <w:color w:val="auto"/>
          <w:sz w:val="24"/>
          <w:highlight w:val="none"/>
        </w:rPr>
        <w:t>进行竞争性磋商</w:t>
      </w:r>
      <w:r>
        <w:rPr>
          <w:rFonts w:hint="eastAsia" w:ascii="宋体" w:hAnsi="宋体" w:cs="宋体"/>
          <w:color w:val="auto"/>
          <w:sz w:val="24"/>
          <w:highlight w:val="none"/>
          <w:lang w:val="en-US" w:eastAsia="zh-CN"/>
        </w:rPr>
        <w:t>采购</w:t>
      </w:r>
      <w:r>
        <w:rPr>
          <w:rFonts w:hint="eastAsia" w:ascii="宋体" w:hAnsi="宋体" w:cs="宋体"/>
          <w:color w:val="auto"/>
          <w:sz w:val="24"/>
          <w:highlight w:val="none"/>
        </w:rPr>
        <w:t>，欢迎合格的供应商参加本次采购活动。</w:t>
      </w:r>
    </w:p>
    <w:p>
      <w:pPr>
        <w:adjustRightInd w:val="0"/>
        <w:spacing w:line="360" w:lineRule="auto"/>
        <w:ind w:firstLine="480" w:firstLineChars="200"/>
        <w:rPr>
          <w:rFonts w:hint="default" w:ascii="宋体" w:hAnsi="宋体" w:eastAsia="宋体" w:cs="宋体"/>
          <w:color w:val="auto"/>
          <w:sz w:val="24"/>
          <w:highlight w:val="none"/>
          <w:u w:val="single"/>
          <w:lang w:val="en-US" w:eastAsia="zh-CN"/>
        </w:rPr>
      </w:pPr>
      <w:r>
        <w:rPr>
          <w:rFonts w:hint="eastAsia" w:ascii="宋体" w:hAnsi="宋体" w:cs="宋体"/>
          <w:color w:val="auto"/>
          <w:sz w:val="24"/>
          <w:highlight w:val="none"/>
        </w:rPr>
        <w:t>一． 磋商项目编号：</w:t>
      </w:r>
      <w:r>
        <w:rPr>
          <w:rFonts w:hint="eastAsia" w:ascii="宋体" w:hAnsi="宋体" w:cs="宋体"/>
          <w:color w:val="auto"/>
          <w:sz w:val="24"/>
          <w:highlight w:val="none"/>
          <w:u w:val="single"/>
          <w:lang w:val="en-US" w:eastAsia="zh-CN"/>
        </w:rPr>
        <w:t xml:space="preserve"> </w:t>
      </w:r>
      <w:r>
        <w:rPr>
          <w:rFonts w:ascii="宋体" w:hAnsi="宋体" w:eastAsia="宋体" w:cs="宋体"/>
          <w:color w:val="auto"/>
          <w:sz w:val="24"/>
          <w:szCs w:val="24"/>
          <w:highlight w:val="none"/>
          <w:u w:val="single"/>
        </w:rPr>
        <w:t>FSZJCS2020050</w:t>
      </w:r>
      <w:r>
        <w:rPr>
          <w:rFonts w:hint="eastAsia" w:ascii="宋体" w:hAnsi="宋体" w:cs="宋体"/>
          <w:color w:val="auto"/>
          <w:sz w:val="24"/>
          <w:highlight w:val="none"/>
          <w:u w:val="single"/>
          <w:lang w:val="en-US" w:eastAsia="zh-CN"/>
        </w:rPr>
        <w:t xml:space="preserve">    </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二． 采购组织类型：</w:t>
      </w:r>
      <w:r>
        <w:rPr>
          <w:rFonts w:hint="eastAsia" w:ascii="宋体" w:hAnsi="宋体" w:cs="宋体"/>
          <w:color w:val="auto"/>
          <w:sz w:val="24"/>
          <w:highlight w:val="none"/>
          <w:u w:val="single"/>
        </w:rPr>
        <w:t xml:space="preserve"> 分散采购（中介代理） </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 磋商项目概况:</w:t>
      </w:r>
    </w:p>
    <w:tbl>
      <w:tblPr>
        <w:tblStyle w:val="23"/>
        <w:tblW w:w="4998" w:type="pct"/>
        <w:jc w:val="center"/>
        <w:tblBorders>
          <w:top w:val="single" w:color="000000" w:sz="4" w:space="0"/>
          <w:left w:val="single" w:color="000000" w:sz="4" w:space="0"/>
          <w:bottom w:val="single" w:color="000000" w:sz="4" w:space="0"/>
          <w:right w:val="single" w:color="000000" w:sz="4" w:space="0"/>
          <w:insideH w:val="single" w:color="A6A6A6" w:sz="4" w:space="0"/>
          <w:insideV w:val="single" w:color="A6A6A6" w:sz="4" w:space="0"/>
        </w:tblBorders>
        <w:tblLayout w:type="fixed"/>
        <w:tblCellMar>
          <w:top w:w="0" w:type="dxa"/>
          <w:left w:w="108" w:type="dxa"/>
          <w:bottom w:w="0" w:type="dxa"/>
          <w:right w:w="108" w:type="dxa"/>
        </w:tblCellMar>
      </w:tblPr>
      <w:tblGrid>
        <w:gridCol w:w="505"/>
        <w:gridCol w:w="1775"/>
        <w:gridCol w:w="773"/>
        <w:gridCol w:w="773"/>
        <w:gridCol w:w="1388"/>
        <w:gridCol w:w="2340"/>
        <w:gridCol w:w="1222"/>
        <w:gridCol w:w="509"/>
      </w:tblGrid>
      <w:tr>
        <w:tblPrEx>
          <w:tblBorders>
            <w:top w:val="single" w:color="000000" w:sz="4" w:space="0"/>
            <w:left w:val="single" w:color="000000" w:sz="4" w:space="0"/>
            <w:bottom w:val="single" w:color="000000" w:sz="4" w:space="0"/>
            <w:right w:val="single" w:color="000000" w:sz="4" w:space="0"/>
            <w:insideH w:val="single" w:color="A6A6A6" w:sz="4" w:space="0"/>
            <w:insideV w:val="single" w:color="A6A6A6" w:sz="4" w:space="0"/>
          </w:tblBorders>
          <w:tblCellMar>
            <w:top w:w="0" w:type="dxa"/>
            <w:left w:w="108" w:type="dxa"/>
            <w:bottom w:w="0" w:type="dxa"/>
            <w:right w:w="108" w:type="dxa"/>
          </w:tblCellMar>
        </w:tblPrEx>
        <w:trPr>
          <w:trHeight w:val="977" w:hRule="atLeast"/>
          <w:jc w:val="center"/>
        </w:trPr>
        <w:tc>
          <w:tcPr>
            <w:tcW w:w="272"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序号</w:t>
            </w:r>
          </w:p>
        </w:tc>
        <w:tc>
          <w:tcPr>
            <w:tcW w:w="956"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项目名称</w:t>
            </w:r>
          </w:p>
        </w:tc>
        <w:tc>
          <w:tcPr>
            <w:tcW w:w="416"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数量</w:t>
            </w:r>
          </w:p>
        </w:tc>
        <w:tc>
          <w:tcPr>
            <w:tcW w:w="416"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单位</w:t>
            </w:r>
          </w:p>
        </w:tc>
        <w:tc>
          <w:tcPr>
            <w:tcW w:w="748"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预算金额(元)</w:t>
            </w:r>
          </w:p>
        </w:tc>
        <w:tc>
          <w:tcPr>
            <w:tcW w:w="1260"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简要规格描述或标项基本概况介绍</w:t>
            </w:r>
          </w:p>
        </w:tc>
        <w:tc>
          <w:tcPr>
            <w:tcW w:w="658"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最高限价(元)</w:t>
            </w:r>
          </w:p>
        </w:tc>
        <w:tc>
          <w:tcPr>
            <w:tcW w:w="274"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A6A6A6" w:sz="4" w:space="0"/>
            <w:insideV w:val="single" w:color="A6A6A6" w:sz="4" w:space="0"/>
          </w:tblBorders>
          <w:tblCellMar>
            <w:top w:w="0" w:type="dxa"/>
            <w:left w:w="108" w:type="dxa"/>
            <w:bottom w:w="0" w:type="dxa"/>
            <w:right w:w="108" w:type="dxa"/>
          </w:tblCellMar>
        </w:tblPrEx>
        <w:trPr>
          <w:jc w:val="center"/>
        </w:trPr>
        <w:tc>
          <w:tcPr>
            <w:tcW w:w="272"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956"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u w:val="none"/>
                <w:lang w:val="en-US" w:eastAsia="zh-CN"/>
              </w:rPr>
              <w:t>绍兴市上虞区应急管理局避灾安置场所房屋安全鉴定检测采购项目</w:t>
            </w:r>
          </w:p>
        </w:tc>
        <w:tc>
          <w:tcPr>
            <w:tcW w:w="416" w:type="pct"/>
            <w:vAlign w:val="center"/>
          </w:tcPr>
          <w:p>
            <w:pPr>
              <w:adjustRightInd w:val="0"/>
              <w:spacing w:line="360"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416" w:type="pct"/>
            <w:vAlign w:val="center"/>
          </w:tcPr>
          <w:p>
            <w:pPr>
              <w:adjustRightInd w:val="0"/>
              <w:spacing w:line="360"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批</w:t>
            </w:r>
          </w:p>
        </w:tc>
        <w:tc>
          <w:tcPr>
            <w:tcW w:w="748" w:type="pct"/>
            <w:vAlign w:val="center"/>
          </w:tcPr>
          <w:p>
            <w:pPr>
              <w:widowControl/>
              <w:spacing w:before="100" w:after="100" w:line="312"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700000</w:t>
            </w:r>
          </w:p>
        </w:tc>
        <w:tc>
          <w:tcPr>
            <w:tcW w:w="1260" w:type="pct"/>
            <w:vAlign w:val="center"/>
          </w:tcPr>
          <w:p>
            <w:pPr>
              <w:pStyle w:val="14"/>
              <w:snapToGrid w:val="0"/>
              <w:spacing w:before="120" w:after="120"/>
              <w:rPr>
                <w:rFonts w:hint="default" w:hAnsi="宋体" w:eastAsia="宋体" w:cs="宋体"/>
                <w:color w:val="auto"/>
                <w:sz w:val="24"/>
                <w:szCs w:val="24"/>
                <w:highlight w:val="none"/>
                <w:lang w:val="en-US" w:eastAsia="zh-CN"/>
              </w:rPr>
            </w:pPr>
            <w:r>
              <w:rPr>
                <w:rFonts w:hint="eastAsia" w:hAnsi="宋体" w:cs="Times New Roman"/>
                <w:color w:val="auto"/>
                <w:sz w:val="24"/>
                <w:szCs w:val="24"/>
                <w:highlight w:val="none"/>
                <w:lang w:val="en-US" w:eastAsia="zh-CN"/>
              </w:rPr>
              <w:t>乡镇街道避灾安置场所房屋安全鉴定检测采购</w:t>
            </w:r>
          </w:p>
        </w:tc>
        <w:tc>
          <w:tcPr>
            <w:tcW w:w="658" w:type="pct"/>
            <w:vAlign w:val="center"/>
          </w:tcPr>
          <w:p>
            <w:pPr>
              <w:adjustRightInd w:val="0"/>
              <w:spacing w:line="360"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700000</w:t>
            </w:r>
          </w:p>
        </w:tc>
        <w:tc>
          <w:tcPr>
            <w:tcW w:w="274" w:type="pct"/>
            <w:vAlign w:val="center"/>
          </w:tcPr>
          <w:p>
            <w:pPr>
              <w:adjustRightIn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w:t>
            </w:r>
          </w:p>
        </w:tc>
      </w:tr>
    </w:tbl>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四． 合格供应商资格要求:</w:t>
      </w:r>
    </w:p>
    <w:p>
      <w:pPr>
        <w:keepNext w:val="0"/>
        <w:keepLines w:val="0"/>
        <w:pageBreakBefore w:val="0"/>
        <w:widowControl w:val="0"/>
        <w:kinsoku/>
        <w:wordWrap/>
        <w:overflowPunct/>
        <w:topLinePunct w:val="0"/>
        <w:bidi w:val="0"/>
        <w:spacing w:line="30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符合政府采购法第二十二条，且未被“信用中国”（www.creditchina.gov.cn）、中国政府采购网（www.ccgp.gov.cn）列入失信被执行人、重大税收违法案件当事人名单、政府采购严重违法失信行为记录名单</w:t>
      </w:r>
      <w:r>
        <w:rPr>
          <w:rFonts w:hint="eastAsia" w:ascii="宋体" w:hAnsi="宋体" w:cs="宋体"/>
          <w:color w:val="auto"/>
          <w:sz w:val="24"/>
          <w:highlight w:val="none"/>
          <w:lang w:eastAsia="zh-CN"/>
        </w:rPr>
        <w:t>；</w:t>
      </w:r>
    </w:p>
    <w:p>
      <w:pPr>
        <w:keepNext w:val="0"/>
        <w:keepLines w:val="0"/>
        <w:pageBreakBefore w:val="0"/>
        <w:widowControl w:val="0"/>
        <w:kinsoku/>
        <w:wordWrap/>
        <w:overflowPunct/>
        <w:topLinePunct w:val="0"/>
        <w:bidi w:val="0"/>
        <w:spacing w:line="300" w:lineRule="auto"/>
        <w:ind w:firstLine="480" w:firstLineChars="200"/>
        <w:textAlignment w:val="auto"/>
        <w:rPr>
          <w:rFonts w:hint="eastAsia" w:ascii="宋体" w:hAnsi="宋体" w:cs="宋体"/>
          <w:color w:val="auto"/>
          <w:kern w:val="1"/>
          <w:sz w:val="24"/>
          <w:highlight w:val="none"/>
        </w:rPr>
      </w:pPr>
      <w:r>
        <w:rPr>
          <w:rFonts w:hint="eastAsia" w:ascii="宋体" w:hAnsi="宋体" w:cs="宋体"/>
          <w:color w:val="auto"/>
          <w:kern w:val="1"/>
          <w:sz w:val="24"/>
          <w:highlight w:val="none"/>
        </w:rPr>
        <w:t>2、具有省级及以上建设行政主管部门核发的建设工程建筑材料见证取样检测、建设工程结构检测、建设工程钢结构检测及建设工程地基基础检测资质的企业；</w:t>
      </w:r>
    </w:p>
    <w:p>
      <w:pPr>
        <w:keepNext w:val="0"/>
        <w:keepLines w:val="0"/>
        <w:pageBreakBefore w:val="0"/>
        <w:widowControl w:val="0"/>
        <w:kinsoku/>
        <w:wordWrap/>
        <w:overflowPunct/>
        <w:topLinePunct w:val="0"/>
        <w:bidi w:val="0"/>
        <w:spacing w:line="300" w:lineRule="auto"/>
        <w:ind w:firstLine="480" w:firstLineChars="200"/>
        <w:textAlignment w:val="auto"/>
        <w:rPr>
          <w:rFonts w:hint="eastAsia" w:ascii="宋体" w:hAnsi="宋体" w:cs="宋体"/>
          <w:color w:val="auto"/>
          <w:kern w:val="1"/>
          <w:sz w:val="24"/>
          <w:highlight w:val="none"/>
        </w:rPr>
      </w:pPr>
      <w:r>
        <w:rPr>
          <w:rFonts w:hint="eastAsia" w:ascii="宋体" w:hAnsi="宋体" w:cs="宋体"/>
          <w:color w:val="auto"/>
          <w:kern w:val="1"/>
          <w:sz w:val="24"/>
          <w:highlight w:val="none"/>
        </w:rPr>
        <w:t>3、具有省级及以上质量技术监督局计量认证证书</w:t>
      </w:r>
      <w:r>
        <w:rPr>
          <w:rFonts w:hint="eastAsia" w:ascii="宋体" w:hAnsi="宋体" w:cs="宋体"/>
          <w:color w:val="auto"/>
          <w:kern w:val="1"/>
          <w:sz w:val="24"/>
          <w:highlight w:val="none"/>
          <w:lang w:eastAsia="zh-CN"/>
        </w:rPr>
        <w:t>（</w:t>
      </w:r>
      <w:r>
        <w:rPr>
          <w:rFonts w:hint="eastAsia" w:ascii="宋体" w:hAnsi="宋体" w:cs="宋体"/>
          <w:color w:val="auto"/>
          <w:kern w:val="1"/>
          <w:sz w:val="24"/>
          <w:highlight w:val="none"/>
          <w:lang w:val="en-US" w:eastAsia="zh-CN"/>
        </w:rPr>
        <w:t>CMA）和省级及以上高级人民法院建设工程质量司法鉴定机构入册单位</w:t>
      </w:r>
      <w:r>
        <w:rPr>
          <w:rFonts w:hint="eastAsia" w:ascii="宋体" w:hAnsi="宋体" w:cs="宋体"/>
          <w:color w:val="auto"/>
          <w:kern w:val="1"/>
          <w:sz w:val="24"/>
          <w:highlight w:val="none"/>
        </w:rPr>
        <w:t>；</w:t>
      </w:r>
    </w:p>
    <w:p>
      <w:pPr>
        <w:numPr>
          <w:ilvl w:val="0"/>
          <w:numId w:val="0"/>
        </w:numPr>
        <w:adjustRightIn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本项目</w:t>
      </w:r>
      <w:r>
        <w:rPr>
          <w:rFonts w:hint="eastAsia" w:ascii="宋体" w:hAnsi="宋体" w:cs="宋体"/>
          <w:color w:val="auto"/>
          <w:sz w:val="24"/>
          <w:highlight w:val="none"/>
          <w:u w:val="single"/>
        </w:rPr>
        <w:t xml:space="preserve">不接受 </w:t>
      </w:r>
      <w:r>
        <w:rPr>
          <w:rFonts w:hint="eastAsia" w:ascii="宋体" w:hAnsi="宋体" w:cs="宋体"/>
          <w:color w:val="auto"/>
          <w:sz w:val="24"/>
          <w:highlight w:val="none"/>
        </w:rPr>
        <w:t>联合体参加磋商</w:t>
      </w:r>
      <w:r>
        <w:rPr>
          <w:rFonts w:hint="eastAsia" w:ascii="宋体" w:hAnsi="宋体" w:cs="宋体"/>
          <w:color w:val="auto"/>
          <w:sz w:val="24"/>
          <w:highlight w:val="none"/>
          <w:lang w:eastAsia="zh-CN"/>
        </w:rPr>
        <w:t>；</w:t>
      </w:r>
    </w:p>
    <w:p>
      <w:pPr>
        <w:numPr>
          <w:ilvl w:val="0"/>
          <w:numId w:val="0"/>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本项目采用资格后审的审查方式，由磋商小组负责审查。</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五．获取磋商文件</w:t>
      </w:r>
    </w:p>
    <w:p>
      <w:pPr>
        <w:numPr>
          <w:ilvl w:val="0"/>
          <w:numId w:val="2"/>
        </w:numPr>
        <w:adjustRightInd w:val="0"/>
        <w:spacing w:line="360" w:lineRule="auto"/>
        <w:ind w:firstLine="480" w:firstLineChars="200"/>
        <w:rPr>
          <w:rFonts w:ascii="宋体" w:hAnsi="宋体" w:cs="宋体"/>
          <w:color w:val="auto"/>
          <w:sz w:val="24"/>
          <w:highlight w:val="none"/>
        </w:rPr>
      </w:pPr>
      <w:bookmarkStart w:id="4" w:name="报名开始时间1"/>
      <w:r>
        <w:rPr>
          <w:rFonts w:hint="eastAsia" w:ascii="宋体" w:hAnsi="宋体" w:cs="宋体"/>
          <w:color w:val="auto"/>
          <w:sz w:val="24"/>
          <w:highlight w:val="none"/>
        </w:rPr>
        <w:t>获取磋商文件时间:</w:t>
      </w:r>
      <w:bookmarkEnd w:id="4"/>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1</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1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15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上</w:t>
      </w:r>
      <w:r>
        <w:rPr>
          <w:rFonts w:hint="eastAsia" w:ascii="宋体" w:hAnsi="宋体" w:cs="宋体"/>
          <w:color w:val="auto"/>
          <w:sz w:val="24"/>
          <w:highlight w:val="none"/>
          <w:u w:val="single"/>
        </w:rPr>
        <w:t>午</w:t>
      </w:r>
      <w:r>
        <w:rPr>
          <w:rFonts w:hint="eastAsia" w:ascii="宋体" w:hAnsi="宋体" w:cs="宋体"/>
          <w:color w:val="auto"/>
          <w:sz w:val="24"/>
          <w:highlight w:val="none"/>
          <w:u w:val="single"/>
          <w:lang w:val="en-US" w:eastAsia="zh-CN"/>
        </w:rPr>
        <w:t xml:space="preserve"> 9</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 xml:space="preserve">30 </w:t>
      </w:r>
      <w:r>
        <w:rPr>
          <w:rFonts w:hint="eastAsia" w:ascii="宋体" w:hAnsi="宋体" w:cs="宋体"/>
          <w:color w:val="auto"/>
          <w:sz w:val="24"/>
          <w:highlight w:val="none"/>
        </w:rPr>
        <w:t>之前获取。</w:t>
      </w:r>
    </w:p>
    <w:p>
      <w:pPr>
        <w:numPr>
          <w:ilvl w:val="0"/>
          <w:numId w:val="2"/>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获取磋商文件方式：供应商登陆政采云平台http://www.zcygov.cn/，在线申请获取磋商文件（进入“项目采购”应用，在获取采购文件菜单中选择项目，申请获取采购文件）。</w:t>
      </w:r>
    </w:p>
    <w:p>
      <w:pPr>
        <w:numPr>
          <w:ilvl w:val="0"/>
          <w:numId w:val="2"/>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提示：</w:t>
      </w:r>
    </w:p>
    <w:p>
      <w:pPr>
        <w:numPr>
          <w:ilvl w:val="0"/>
          <w:numId w:val="3"/>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将拒绝接受未获取磋商文件供应商的响应文件。</w:t>
      </w:r>
    </w:p>
    <w:p>
      <w:pPr>
        <w:numPr>
          <w:ilvl w:val="0"/>
          <w:numId w:val="3"/>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磋商文件及更正补充公告请自行登录浙江政府采购网或绍兴市上虞区公共资源交易中心网站，在采购公告页面中下载。</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六．注意事项：</w:t>
      </w:r>
    </w:p>
    <w:p>
      <w:pPr>
        <w:numPr>
          <w:ilvl w:val="0"/>
          <w:numId w:val="4"/>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本项目实行</w:t>
      </w:r>
      <w:r>
        <w:rPr>
          <w:rFonts w:hint="eastAsia" w:ascii="宋体" w:hAnsi="宋体" w:cs="宋体"/>
          <w:b/>
          <w:bCs/>
          <w:color w:val="auto"/>
          <w:sz w:val="24"/>
          <w:highlight w:val="none"/>
        </w:rPr>
        <w:t>网上投标</w:t>
      </w:r>
      <w:r>
        <w:rPr>
          <w:rFonts w:hint="eastAsia" w:ascii="宋体" w:hAnsi="宋体" w:cs="宋体"/>
          <w:color w:val="auto"/>
          <w:sz w:val="24"/>
          <w:highlight w:val="none"/>
        </w:rPr>
        <w:t>，采用电子磋商响应文件，若供应商参与采购活动，自行承担投标一切费用。</w:t>
      </w:r>
    </w:p>
    <w:p>
      <w:pPr>
        <w:numPr>
          <w:ilvl w:val="0"/>
          <w:numId w:val="4"/>
        </w:numPr>
        <w:wordWrap w:val="0"/>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标前准备：各供应商应在开标前应确保成为浙江省政府采购网正式注册入库供应商，并完成CA数字证书办理。因未注册入库、未办理CA数字证书等原因造成无法磋商或磋商失败等后果由供应商自行承担。</w:t>
      </w:r>
    </w:p>
    <w:p>
      <w:pPr>
        <w:autoSpaceDE w:val="0"/>
        <w:autoSpaceDN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供应商将政采云电子交易客户端下载、安装完成后，可通过账号密码或CA登录客户端进行响应文件制作。在使用政采云投标客户端时，建议使用WIN7及以上操作系统。</w:t>
      </w:r>
    </w:p>
    <w:p>
      <w:pPr>
        <w:autoSpaceDE w:val="0"/>
        <w:autoSpaceDN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注：供应商先要申领CA，取得CA后需要在政采云平台进行绑定，CA相关操作可参考《CA申领操作指南》和《CA管理操作指南》。完成CA数字证书办理在资料齐全的情况下预计7个工作日左右，建议供应商获取磋商文件后立即办理。</w:t>
      </w:r>
    </w:p>
    <w:p>
      <w:pPr>
        <w:adjustRightInd w:val="0"/>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《CA申领操作指南》：</w:t>
      </w:r>
    </w:p>
    <w:p>
      <w:pPr>
        <w:adjustRightInd w:val="0"/>
        <w:spacing w:line="360" w:lineRule="auto"/>
        <w:ind w:left="420" w:leftChars="200"/>
        <w:rPr>
          <w:rFonts w:ascii="宋体" w:hAnsi="宋体" w:cs="宋体"/>
          <w:color w:val="auto"/>
          <w:sz w:val="24"/>
          <w:highlight w:val="none"/>
        </w:rPr>
      </w:pPr>
      <w:r>
        <w:rPr>
          <w:color w:val="auto"/>
          <w:highlight w:val="none"/>
        </w:rPr>
        <w:fldChar w:fldCharType="begin"/>
      </w:r>
      <w:r>
        <w:rPr>
          <w:color w:val="auto"/>
          <w:highlight w:val="none"/>
        </w:rPr>
        <w:instrText xml:space="preserve"> HYPERLINK "https://help.zcygov.cn/web/site_2/2018/11-29/2452.html" </w:instrText>
      </w:r>
      <w:r>
        <w:rPr>
          <w:color w:val="auto"/>
          <w:highlight w:val="none"/>
        </w:rPr>
        <w:fldChar w:fldCharType="separate"/>
      </w:r>
      <w:r>
        <w:rPr>
          <w:rFonts w:hint="eastAsia" w:ascii="宋体" w:hAnsi="宋体" w:cs="宋体"/>
          <w:color w:val="auto"/>
          <w:sz w:val="24"/>
          <w:highlight w:val="none"/>
        </w:rPr>
        <w:t>https://help.zcygov.cn/web/site_2/2018/11-29/2452.html</w:t>
      </w:r>
      <w:r>
        <w:rPr>
          <w:rFonts w:hint="eastAsia" w:ascii="宋体" w:hAnsi="宋体" w:cs="宋体"/>
          <w:color w:val="auto"/>
          <w:sz w:val="24"/>
          <w:highlight w:val="none"/>
        </w:rPr>
        <w:fldChar w:fldCharType="end"/>
      </w:r>
    </w:p>
    <w:p>
      <w:pPr>
        <w:adjustRightInd w:val="0"/>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《CA管理操作指南》：</w:t>
      </w:r>
    </w:p>
    <w:p>
      <w:pPr>
        <w:adjustRightInd w:val="0"/>
        <w:spacing w:line="360" w:lineRule="auto"/>
        <w:ind w:left="420" w:leftChars="200"/>
        <w:rPr>
          <w:rFonts w:ascii="宋体" w:hAnsi="宋体" w:cs="宋体"/>
          <w:color w:val="auto"/>
          <w:sz w:val="24"/>
          <w:highlight w:val="none"/>
        </w:rPr>
      </w:pPr>
      <w:r>
        <w:rPr>
          <w:color w:val="auto"/>
          <w:highlight w:val="none"/>
        </w:rPr>
        <w:fldChar w:fldCharType="begin"/>
      </w:r>
      <w:r>
        <w:rPr>
          <w:color w:val="auto"/>
          <w:highlight w:val="none"/>
        </w:rPr>
        <w:instrText xml:space="preserve"> HYPERLINK "https://help.zcygov.cn/web/site_2/2019/08-20/3405.html" </w:instrText>
      </w:r>
      <w:r>
        <w:rPr>
          <w:color w:val="auto"/>
          <w:highlight w:val="none"/>
        </w:rPr>
        <w:fldChar w:fldCharType="separate"/>
      </w:r>
      <w:r>
        <w:rPr>
          <w:rFonts w:hint="eastAsia" w:ascii="宋体" w:hAnsi="宋体" w:cs="宋体"/>
          <w:color w:val="auto"/>
          <w:sz w:val="24"/>
          <w:highlight w:val="none"/>
        </w:rPr>
        <w:t>https://help.zcygov.cn/web/site_2/2019/08-20/3405.html</w:t>
      </w:r>
      <w:r>
        <w:rPr>
          <w:rFonts w:hint="eastAsia" w:ascii="宋体" w:hAnsi="宋体" w:cs="宋体"/>
          <w:color w:val="auto"/>
          <w:sz w:val="24"/>
          <w:highlight w:val="none"/>
        </w:rPr>
        <w:fldChar w:fldCharType="end"/>
      </w:r>
    </w:p>
    <w:p>
      <w:pPr>
        <w:adjustRightInd w:val="0"/>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《CA驱动和申领流程》:</w:t>
      </w:r>
    </w:p>
    <w:p>
      <w:pPr>
        <w:adjustRightInd w:val="0"/>
        <w:spacing w:line="360" w:lineRule="auto"/>
        <w:ind w:left="420" w:leftChars="200"/>
        <w:rPr>
          <w:rFonts w:ascii="宋体" w:hAnsi="宋体" w:cs="宋体"/>
          <w:color w:val="auto"/>
          <w:sz w:val="24"/>
          <w:highlight w:val="none"/>
        </w:rPr>
      </w:pPr>
      <w:r>
        <w:rPr>
          <w:color w:val="auto"/>
          <w:highlight w:val="none"/>
        </w:rPr>
        <w:fldChar w:fldCharType="begin"/>
      </w:r>
      <w:r>
        <w:rPr>
          <w:color w:val="auto"/>
          <w:highlight w:val="none"/>
        </w:rPr>
        <w:instrText xml:space="preserve"> HYPERLINK "http://zfcg.czt.zj.gov.cn/bidClientTemplate/2019-05-27/12945.html" </w:instrText>
      </w:r>
      <w:r>
        <w:rPr>
          <w:color w:val="auto"/>
          <w:highlight w:val="none"/>
        </w:rPr>
        <w:fldChar w:fldCharType="separate"/>
      </w:r>
      <w:r>
        <w:rPr>
          <w:rFonts w:hint="eastAsia" w:ascii="宋体" w:hAnsi="宋体" w:cs="宋体"/>
          <w:color w:val="auto"/>
          <w:sz w:val="24"/>
          <w:highlight w:val="none"/>
        </w:rPr>
        <w:t>http://zfcg.czt.zj.gov.cn/bidClientTemplate/2019-05-27/12945.html</w:t>
      </w:r>
      <w:r>
        <w:rPr>
          <w:rFonts w:hint="eastAsia" w:ascii="宋体" w:hAnsi="宋体" w:cs="宋体"/>
          <w:color w:val="auto"/>
          <w:sz w:val="24"/>
          <w:highlight w:val="none"/>
        </w:rPr>
        <w:fldChar w:fldCharType="end"/>
      </w:r>
    </w:p>
    <w:p>
      <w:pPr>
        <w:numPr>
          <w:ilvl w:val="0"/>
          <w:numId w:val="4"/>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响应文件制作：</w:t>
      </w:r>
    </w:p>
    <w:p>
      <w:pPr>
        <w:numPr>
          <w:ilvl w:val="0"/>
          <w:numId w:val="5"/>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应按照本项目磋商文件和政采云平台的要求编制、加密并递交响应文件。供应商在使用系统进行磋商的过程中遇到涉及平台使用的任何问题，可致电政采云平台技术支持热线咨询，联系方式：400-881-7190。</w:t>
      </w:r>
    </w:p>
    <w:p>
      <w:pPr>
        <w:numPr>
          <w:ilvl w:val="0"/>
          <w:numId w:val="5"/>
        </w:numPr>
        <w:wordWrap w:val="0"/>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供应商通过“政采云”平台电子投标工具制作响应文件。</w:t>
      </w:r>
    </w:p>
    <w:p>
      <w:pPr>
        <w:adjustRightIn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《电子投标工具》：</w:t>
      </w:r>
    </w:p>
    <w:p>
      <w:pPr>
        <w:adjustRightInd w:val="0"/>
        <w:spacing w:line="360" w:lineRule="auto"/>
        <w:ind w:firstLine="420" w:firstLineChars="200"/>
        <w:jc w:val="left"/>
        <w:rPr>
          <w:rFonts w:ascii="宋体" w:hAnsi="宋体" w:cs="宋体"/>
          <w:color w:val="auto"/>
          <w:sz w:val="24"/>
          <w:highlight w:val="none"/>
        </w:rPr>
      </w:pPr>
      <w:r>
        <w:rPr>
          <w:color w:val="auto"/>
          <w:highlight w:val="none"/>
        </w:rPr>
        <w:fldChar w:fldCharType="begin"/>
      </w:r>
      <w:r>
        <w:rPr>
          <w:color w:val="auto"/>
          <w:highlight w:val="none"/>
        </w:rPr>
        <w:instrText xml:space="preserve"> HYPERLINK "http://zfcg.czt.zj.gov.cn/bidClientTemplate/2019-09-24/12975.html" </w:instrText>
      </w:r>
      <w:r>
        <w:rPr>
          <w:color w:val="auto"/>
          <w:highlight w:val="none"/>
        </w:rPr>
        <w:fldChar w:fldCharType="separate"/>
      </w:r>
      <w:r>
        <w:rPr>
          <w:rFonts w:hint="eastAsia" w:ascii="宋体" w:hAnsi="宋体" w:cs="宋体"/>
          <w:color w:val="auto"/>
          <w:sz w:val="24"/>
          <w:highlight w:val="none"/>
        </w:rPr>
        <w:t>http://zfcg.czt.zj.gov.cn/bidClientTemplate/2019-09-24/12975.html</w:t>
      </w:r>
      <w:r>
        <w:rPr>
          <w:rFonts w:hint="eastAsia" w:ascii="宋体" w:hAnsi="宋体" w:cs="宋体"/>
          <w:color w:val="auto"/>
          <w:sz w:val="24"/>
          <w:highlight w:val="none"/>
        </w:rPr>
        <w:fldChar w:fldCharType="end"/>
      </w:r>
    </w:p>
    <w:p>
      <w:pPr>
        <w:adjustRightIn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《供应商-政府采购项目电子交易操作指南》：</w:t>
      </w:r>
    </w:p>
    <w:p>
      <w:pPr>
        <w:adjustRightInd w:val="0"/>
        <w:spacing w:line="360" w:lineRule="auto"/>
        <w:ind w:firstLine="420" w:firstLineChars="200"/>
        <w:jc w:val="left"/>
        <w:rPr>
          <w:rFonts w:ascii="宋体" w:hAnsi="宋体" w:cs="宋体"/>
          <w:color w:val="auto"/>
          <w:sz w:val="24"/>
          <w:highlight w:val="none"/>
        </w:rPr>
      </w:pPr>
      <w:r>
        <w:rPr>
          <w:color w:val="auto"/>
          <w:highlight w:val="none"/>
        </w:rPr>
        <w:fldChar w:fldCharType="begin"/>
      </w:r>
      <w:r>
        <w:rPr>
          <w:color w:val="auto"/>
          <w:highlight w:val="none"/>
        </w:rPr>
        <w:instrText xml:space="preserve"> HYPERLINK "https://help.zcygov.cn/web/site_2/2020/12-28/2573.html" </w:instrText>
      </w:r>
      <w:r>
        <w:rPr>
          <w:color w:val="auto"/>
          <w:highlight w:val="none"/>
        </w:rPr>
        <w:fldChar w:fldCharType="separate"/>
      </w:r>
      <w:r>
        <w:rPr>
          <w:rFonts w:hint="eastAsia" w:ascii="宋体" w:hAnsi="宋体" w:cs="宋体"/>
          <w:color w:val="auto"/>
          <w:sz w:val="24"/>
          <w:highlight w:val="none"/>
        </w:rPr>
        <w:t>https://help.zcygov.cn/web/site_2/2018/12-28/2573.html</w:t>
      </w:r>
      <w:r>
        <w:rPr>
          <w:rFonts w:hint="eastAsia" w:ascii="宋体" w:hAnsi="宋体" w:cs="宋体"/>
          <w:color w:val="auto"/>
          <w:sz w:val="24"/>
          <w:highlight w:val="none"/>
        </w:rPr>
        <w:fldChar w:fldCharType="end"/>
      </w:r>
    </w:p>
    <w:p>
      <w:pPr>
        <w:adjustRightInd w:val="0"/>
        <w:spacing w:line="360" w:lineRule="auto"/>
        <w:ind w:firstLine="482" w:firstLineChars="200"/>
        <w:jc w:val="left"/>
        <w:rPr>
          <w:rFonts w:ascii="宋体" w:hAnsi="宋体" w:cs="宋体"/>
          <w:color w:val="auto"/>
          <w:sz w:val="24"/>
          <w:highlight w:val="none"/>
        </w:rPr>
      </w:pPr>
      <w:r>
        <w:rPr>
          <w:rFonts w:hint="eastAsia" w:ascii="宋体" w:hAnsi="宋体" w:cs="宋体"/>
          <w:b/>
          <w:color w:val="auto"/>
          <w:sz w:val="24"/>
          <w:highlight w:val="none"/>
        </w:rPr>
        <w:t>七</w:t>
      </w:r>
      <w:r>
        <w:rPr>
          <w:rFonts w:hint="eastAsia" w:ascii="宋体" w:hAnsi="宋体" w:cs="宋体"/>
          <w:b/>
          <w:bCs/>
          <w:color w:val="auto"/>
          <w:sz w:val="24"/>
          <w:highlight w:val="none"/>
        </w:rPr>
        <w:t>．</w:t>
      </w:r>
      <w:r>
        <w:rPr>
          <w:rFonts w:hint="eastAsia" w:ascii="宋体" w:hAnsi="宋体" w:cs="宋体"/>
          <w:b/>
          <w:color w:val="auto"/>
          <w:sz w:val="24"/>
          <w:highlight w:val="none"/>
        </w:rPr>
        <w:t>磋商响应截止时间及要求：</w:t>
      </w:r>
      <w:r>
        <w:rPr>
          <w:rFonts w:hint="eastAsia" w:ascii="宋体" w:hAnsi="宋体" w:cs="宋体"/>
          <w:color w:val="auto"/>
          <w:sz w:val="24"/>
          <w:highlight w:val="none"/>
          <w:u w:val="single"/>
        </w:rPr>
        <w:t xml:space="preserve"> 202</w:t>
      </w:r>
      <w:r>
        <w:rPr>
          <w:rFonts w:hint="eastAsia" w:ascii="宋体" w:hAnsi="宋体" w:cs="宋体"/>
          <w:color w:val="auto"/>
          <w:sz w:val="24"/>
          <w:highlight w:val="none"/>
          <w:u w:val="single"/>
          <w:lang w:val="en-US" w:eastAsia="zh-CN"/>
        </w:rPr>
        <w:t>1</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上</w:t>
      </w:r>
      <w:r>
        <w:rPr>
          <w:rFonts w:hint="eastAsia" w:ascii="宋体" w:hAnsi="宋体" w:cs="宋体"/>
          <w:color w:val="auto"/>
          <w:sz w:val="24"/>
          <w:highlight w:val="none"/>
        </w:rPr>
        <w:t>午</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9</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时</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分整</w:t>
      </w:r>
      <w:r>
        <w:rPr>
          <w:rFonts w:hint="eastAsia" w:ascii="宋体" w:hAnsi="宋体" w:cs="宋体"/>
          <w:bCs/>
          <w:color w:val="auto"/>
          <w:kern w:val="0"/>
          <w:sz w:val="24"/>
          <w:highlight w:val="none"/>
        </w:rPr>
        <w:t>之前将电子磋商响应文件上传到“政采云”平台。</w:t>
      </w:r>
    </w:p>
    <w:p>
      <w:pPr>
        <w:adjustRightInd w:val="0"/>
        <w:spacing w:line="360" w:lineRule="auto"/>
        <w:ind w:firstLine="482" w:firstLineChars="200"/>
        <w:jc w:val="left"/>
        <w:rPr>
          <w:rFonts w:ascii="宋体" w:hAnsi="宋体" w:cs="宋体"/>
          <w:color w:val="auto"/>
          <w:sz w:val="24"/>
          <w:highlight w:val="none"/>
        </w:rPr>
      </w:pPr>
      <w:r>
        <w:rPr>
          <w:rFonts w:hint="eastAsia" w:ascii="宋体" w:hAnsi="宋体" w:cs="宋体"/>
          <w:b/>
          <w:color w:val="auto"/>
          <w:sz w:val="24"/>
          <w:highlight w:val="none"/>
        </w:rPr>
        <w:t>八</w:t>
      </w:r>
      <w:r>
        <w:rPr>
          <w:rFonts w:hint="eastAsia" w:ascii="宋体" w:hAnsi="宋体" w:cs="宋体"/>
          <w:b/>
          <w:bCs/>
          <w:color w:val="auto"/>
          <w:sz w:val="24"/>
          <w:highlight w:val="none"/>
        </w:rPr>
        <w:t>．</w:t>
      </w:r>
      <w:r>
        <w:rPr>
          <w:rFonts w:hint="eastAsia" w:ascii="宋体" w:hAnsi="宋体" w:cs="宋体"/>
          <w:b/>
          <w:color w:val="auto"/>
          <w:sz w:val="24"/>
          <w:highlight w:val="none"/>
        </w:rPr>
        <w:t>递交首次响应文件时间及地点：</w:t>
      </w:r>
      <w:bookmarkStart w:id="5" w:name="B30_开标地点"/>
      <w:r>
        <w:rPr>
          <w:rFonts w:hint="eastAsia" w:ascii="宋体" w:hAnsi="宋体" w:cs="宋体"/>
          <w:color w:val="auto"/>
          <w:sz w:val="24"/>
          <w:highlight w:val="none"/>
          <w:u w:val="single"/>
        </w:rPr>
        <w:t xml:space="preserve"> 20</w:t>
      </w:r>
      <w:r>
        <w:rPr>
          <w:rFonts w:hint="eastAsia" w:ascii="宋体" w:hAnsi="宋体" w:cs="宋体"/>
          <w:color w:val="auto"/>
          <w:sz w:val="24"/>
          <w:highlight w:val="none"/>
          <w:u w:val="single"/>
          <w:lang w:val="en-US" w:eastAsia="zh-CN"/>
        </w:rPr>
        <w:t>21</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1</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上</w:t>
      </w:r>
      <w:r>
        <w:rPr>
          <w:rFonts w:hint="eastAsia" w:ascii="宋体" w:hAnsi="宋体" w:cs="宋体"/>
          <w:color w:val="auto"/>
          <w:sz w:val="24"/>
          <w:highlight w:val="none"/>
        </w:rPr>
        <w:t>午</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9</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时</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分整在绍兴市上虞区公共资源交易中心三楼</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375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开标室开标。</w:t>
      </w:r>
      <w:bookmarkEnd w:id="5"/>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开标时间后30分钟内（202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15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10 </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00</w:t>
      </w:r>
      <w:r>
        <w:rPr>
          <w:rFonts w:hint="eastAsia" w:ascii="宋体" w:hAnsi="宋体" w:cs="宋体"/>
          <w:color w:val="auto"/>
          <w:sz w:val="24"/>
          <w:highlight w:val="none"/>
        </w:rPr>
        <w:t xml:space="preserve"> 前）供应商可以登录“政采云”平台，用“项目采购-开标评标”功能进行解密响应文件。若供应商在规定时间内（202</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 xml:space="preserve">1 </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 xml:space="preserve"> 15 </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 xml:space="preserve">10 </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00 </w:t>
      </w:r>
      <w:r>
        <w:rPr>
          <w:rFonts w:hint="eastAsia" w:ascii="宋体" w:hAnsi="宋体" w:cs="宋体"/>
          <w:color w:val="auto"/>
          <w:sz w:val="24"/>
          <w:highlight w:val="none"/>
        </w:rPr>
        <w:t>前）解密失败，则由采购代理机构工作人员上传供应商提供的备份文件。备份文件（后缀名为.bfbs）须存储在U盘中，与上传的电子磋商响应文件一致，用信封进行密封并盖章</w:t>
      </w:r>
      <w:r>
        <w:rPr>
          <w:rFonts w:hint="eastAsia" w:ascii="宋体" w:hAnsi="宋体" w:cs="宋体"/>
          <w:b/>
          <w:bCs/>
          <w:color w:val="auto"/>
          <w:sz w:val="24"/>
          <w:highlight w:val="none"/>
        </w:rPr>
        <w:t>（信封内仅需放入存储备份文件的U盘）</w:t>
      </w:r>
      <w:r>
        <w:rPr>
          <w:rFonts w:hint="eastAsia" w:ascii="宋体" w:hAnsi="宋体" w:cs="宋体"/>
          <w:color w:val="auto"/>
          <w:sz w:val="24"/>
          <w:highlight w:val="none"/>
        </w:rPr>
        <w:t>，由授权代表在磋商响应截止时间前递交至开标地点。若电子磋商响应文件正常解锁，则U盘退还给供应商；若解锁失败，则由采购代理机构将U盘中的备份文件上传，该U盘将由采购代理机构保存。</w:t>
      </w:r>
    </w:p>
    <w:p>
      <w:pPr>
        <w:adjustRightInd w:val="0"/>
        <w:spacing w:line="360" w:lineRule="auto"/>
        <w:ind w:firstLine="480" w:firstLineChars="200"/>
        <w:rPr>
          <w:rFonts w:ascii="宋体" w:hAnsi="宋体" w:cs="宋体"/>
          <w:bCs/>
          <w:color w:val="auto"/>
          <w:kern w:val="0"/>
          <w:sz w:val="24"/>
          <w:highlight w:val="none"/>
        </w:rPr>
      </w:pPr>
      <w:r>
        <w:rPr>
          <w:rFonts w:hint="eastAsia" w:ascii="宋体" w:hAnsi="宋体" w:cs="宋体"/>
          <w:color w:val="auto"/>
          <w:sz w:val="24"/>
          <w:highlight w:val="none"/>
        </w:rPr>
        <w:t>本次开标不提供现场视频。</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九．磋商保证金：无</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十．公告期限：5个工作日</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十一．其他事项：</w:t>
      </w:r>
    </w:p>
    <w:p>
      <w:pPr>
        <w:numPr>
          <w:ilvl w:val="0"/>
          <w:numId w:val="6"/>
        </w:numPr>
        <w:adjustRightInd w:val="0"/>
        <w:spacing w:line="360" w:lineRule="auto"/>
        <w:ind w:firstLine="480" w:firstLineChars="200"/>
        <w:rPr>
          <w:rFonts w:ascii="宋体" w:hAnsi="宋体" w:cs="宋体"/>
          <w:b/>
          <w:bCs/>
          <w:color w:val="auto"/>
          <w:sz w:val="24"/>
          <w:highlight w:val="none"/>
          <w:u w:val="single"/>
        </w:rPr>
      </w:pPr>
      <w:r>
        <w:rPr>
          <w:rFonts w:hint="eastAsia" w:ascii="宋体" w:hAnsi="宋体" w:cs="宋体"/>
          <w:color w:val="auto"/>
          <w:sz w:val="24"/>
          <w:highlight w:val="none"/>
        </w:rPr>
        <w:t>供应商认为磋商文件使自己的权益受到损害的，可以在磋商文件公告期限届满之日（公告发布后的第6个工作日）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供应商在法定质疑期内应一次性提出针对同一采购程序环节的质疑。否则质疑将不予受理。</w:t>
      </w:r>
    </w:p>
    <w:p>
      <w:pPr>
        <w:numPr>
          <w:ilvl w:val="0"/>
          <w:numId w:val="6"/>
        </w:numPr>
        <w:adjustRightInd w:val="0"/>
        <w:spacing w:line="360" w:lineRule="auto"/>
        <w:ind w:firstLine="482" w:firstLineChars="200"/>
        <w:rPr>
          <w:rFonts w:ascii="宋体" w:hAnsi="宋体" w:cs="宋体"/>
          <w:b/>
          <w:bCs/>
          <w:color w:val="auto"/>
          <w:sz w:val="24"/>
          <w:highlight w:val="none"/>
          <w:u w:val="single"/>
        </w:rPr>
      </w:pPr>
      <w:r>
        <w:rPr>
          <w:rFonts w:hint="eastAsia" w:ascii="宋体" w:hAnsi="宋体" w:cs="宋体"/>
          <w:b/>
          <w:bCs/>
          <w:color w:val="auto"/>
          <w:sz w:val="24"/>
          <w:highlight w:val="none"/>
          <w:u w:val="single"/>
        </w:rPr>
        <w:t>若供应商需要进行开标现场解密等操作，则需携带笔记本（同时携带</w:t>
      </w:r>
      <w:r>
        <w:rPr>
          <w:rFonts w:ascii="宋体" w:hAnsi="宋体" w:cs="宋体"/>
          <w:b/>
          <w:bCs/>
          <w:color w:val="auto"/>
          <w:sz w:val="24"/>
          <w:highlight w:val="none"/>
          <w:u w:val="single"/>
        </w:rPr>
        <w:t>CA</w:t>
      </w:r>
      <w:r>
        <w:rPr>
          <w:rFonts w:hint="eastAsia" w:ascii="宋体" w:hAnsi="宋体" w:cs="宋体"/>
          <w:b/>
          <w:bCs/>
          <w:color w:val="auto"/>
          <w:sz w:val="24"/>
          <w:highlight w:val="none"/>
          <w:u w:val="single"/>
        </w:rPr>
        <w:t>）至开标现场进行操作。开标时使用的电脑需安装谷歌浏览器、配置</w:t>
      </w:r>
      <w:r>
        <w:rPr>
          <w:rFonts w:ascii="宋体" w:hAnsi="宋体" w:cs="宋体"/>
          <w:b/>
          <w:bCs/>
          <w:color w:val="auto"/>
          <w:sz w:val="24"/>
          <w:highlight w:val="none"/>
          <w:u w:val="single"/>
        </w:rPr>
        <w:t>win7</w:t>
      </w:r>
      <w:r>
        <w:rPr>
          <w:rFonts w:hint="eastAsia" w:ascii="宋体" w:hAnsi="宋体" w:cs="宋体"/>
          <w:b/>
          <w:bCs/>
          <w:color w:val="auto"/>
          <w:sz w:val="24"/>
          <w:highlight w:val="none"/>
          <w:u w:val="single"/>
        </w:rPr>
        <w:t>及以上</w:t>
      </w:r>
      <w:r>
        <w:rPr>
          <w:rFonts w:ascii="宋体" w:hAnsi="宋体" w:cs="宋体"/>
          <w:b/>
          <w:bCs/>
          <w:color w:val="auto"/>
          <w:sz w:val="24"/>
          <w:highlight w:val="none"/>
          <w:u w:val="single"/>
        </w:rPr>
        <w:t>64</w:t>
      </w:r>
      <w:r>
        <w:rPr>
          <w:rFonts w:hint="eastAsia" w:ascii="宋体" w:hAnsi="宋体" w:cs="宋体"/>
          <w:b/>
          <w:bCs/>
          <w:color w:val="auto"/>
          <w:sz w:val="24"/>
          <w:highlight w:val="none"/>
          <w:u w:val="single"/>
        </w:rPr>
        <w:t>位、对应的</w:t>
      </w:r>
      <w:r>
        <w:rPr>
          <w:rFonts w:ascii="宋体" w:hAnsi="宋体" w:cs="宋体"/>
          <w:b/>
          <w:bCs/>
          <w:color w:val="auto"/>
          <w:sz w:val="24"/>
          <w:highlight w:val="none"/>
          <w:u w:val="single"/>
        </w:rPr>
        <w:t>CA</w:t>
      </w:r>
      <w:r>
        <w:rPr>
          <w:rFonts w:hint="eastAsia" w:ascii="宋体" w:hAnsi="宋体" w:cs="宋体"/>
          <w:b/>
          <w:bCs/>
          <w:color w:val="auto"/>
          <w:sz w:val="24"/>
          <w:highlight w:val="none"/>
          <w:u w:val="single"/>
        </w:rPr>
        <w:t>驱动和插件及投标客户端，网络须自备。</w:t>
      </w:r>
    </w:p>
    <w:p>
      <w:pPr>
        <w:numPr>
          <w:ilvl w:val="0"/>
          <w:numId w:val="0"/>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供应商可指派授权代表递交备份文件，授权代表递交备份文件需携带法定代表人授权书原件，于磋商响应截止时间前到达开标地点递交。</w:t>
      </w:r>
    </w:p>
    <w:p>
      <w:pPr>
        <w:numPr>
          <w:ilvl w:val="0"/>
          <w:numId w:val="6"/>
        </w:num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特别提醒</w:t>
      </w:r>
    </w:p>
    <w:p>
      <w:pPr>
        <w:numPr>
          <w:ilvl w:val="0"/>
          <w:numId w:val="7"/>
        </w:numPr>
        <w:wordWrap w:val="0"/>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单位负责人为同一人或者存在直接控股、管理关系的不同供应商，不得参加同一合同项下的政府采购活动。</w:t>
      </w:r>
    </w:p>
    <w:p>
      <w:pPr>
        <w:numPr>
          <w:ilvl w:val="0"/>
          <w:numId w:val="7"/>
        </w:numPr>
        <w:wordWrap w:val="0"/>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除单一来源采购项目外，为采购项目提供整体设计、规范编制或者项目管理、监理、检测等服务的供应商，不得再参加该采购项目的其他采购活动。</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十二．联系方式：</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1．采购人名称：绍兴市上虞区</w:t>
      </w:r>
      <w:r>
        <w:rPr>
          <w:rFonts w:hint="eastAsia" w:ascii="宋体" w:hAnsi="宋体" w:cs="宋体"/>
          <w:color w:val="auto"/>
          <w:sz w:val="24"/>
          <w:highlight w:val="none"/>
          <w:lang w:val="en-US" w:eastAsia="zh-CN"/>
        </w:rPr>
        <w:t>应急管理局</w:t>
      </w:r>
      <w:r>
        <w:rPr>
          <w:rFonts w:hint="eastAsia" w:ascii="宋体" w:hAnsi="宋体" w:cs="宋体"/>
          <w:color w:val="auto"/>
          <w:sz w:val="24"/>
          <w:highlight w:val="none"/>
        </w:rPr>
        <w:t xml:space="preserve"> </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联系人： </w:t>
      </w:r>
      <w:r>
        <w:rPr>
          <w:rFonts w:hint="eastAsia" w:ascii="宋体" w:hAnsi="宋体" w:cs="宋体"/>
          <w:color w:val="auto"/>
          <w:sz w:val="24"/>
          <w:highlight w:val="none"/>
          <w:lang w:val="en-US" w:eastAsia="zh-CN"/>
        </w:rPr>
        <w:t>陆先生</w:t>
      </w:r>
      <w:r>
        <w:rPr>
          <w:rFonts w:hint="eastAsia" w:ascii="宋体" w:hAnsi="宋体" w:cs="宋体"/>
          <w:color w:val="auto"/>
          <w:sz w:val="24"/>
          <w:highlight w:val="none"/>
        </w:rPr>
        <w:t xml:space="preserve">        </w:t>
      </w:r>
    </w:p>
    <w:p>
      <w:pPr>
        <w:adjustRightInd w:val="0"/>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联系电话：</w:t>
      </w:r>
      <w:r>
        <w:rPr>
          <w:rFonts w:hint="eastAsia" w:ascii="宋体" w:hAnsi="宋体" w:cs="宋体"/>
          <w:color w:val="auto"/>
          <w:sz w:val="24"/>
          <w:highlight w:val="none"/>
          <w:lang w:val="en-US" w:eastAsia="zh-CN"/>
        </w:rPr>
        <w:t>0575-81280608</w:t>
      </w:r>
    </w:p>
    <w:p>
      <w:pPr>
        <w:pStyle w:val="28"/>
        <w:rPr>
          <w:rFonts w:hint="default" w:eastAsia="宋体"/>
          <w:color w:val="auto"/>
          <w:highlight w:val="none"/>
          <w:lang w:val="en-US" w:eastAsia="zh-CN"/>
        </w:rPr>
      </w:pPr>
      <w:r>
        <w:rPr>
          <w:rFonts w:hint="eastAsia" w:cs="宋体"/>
          <w:color w:val="auto"/>
          <w:sz w:val="24"/>
          <w:highlight w:val="none"/>
          <w:lang w:val="en-US" w:eastAsia="zh-CN"/>
        </w:rPr>
        <w:t>地址：绍兴上虞区</w:t>
      </w:r>
      <w:r>
        <w:rPr>
          <w:rFonts w:ascii="宋体" w:hAnsi="宋体" w:eastAsia="宋体" w:cs="宋体"/>
          <w:color w:val="auto"/>
          <w:sz w:val="24"/>
          <w:szCs w:val="24"/>
          <w:highlight w:val="none"/>
        </w:rPr>
        <w:t>恒利新村东四区26幢</w:t>
      </w:r>
    </w:p>
    <w:p>
      <w:pPr>
        <w:rPr>
          <w:color w:val="auto"/>
          <w:highlight w:val="none"/>
        </w:rPr>
      </w:pPr>
    </w:p>
    <w:p>
      <w:pPr>
        <w:adjustRightInd w:val="0"/>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2．采购代理机构名称：浙江</w:t>
      </w:r>
      <w:r>
        <w:rPr>
          <w:rFonts w:hint="eastAsia" w:ascii="宋体" w:hAnsi="宋体" w:cs="宋体"/>
          <w:color w:val="auto"/>
          <w:sz w:val="24"/>
          <w:highlight w:val="none"/>
          <w:lang w:val="en-US" w:eastAsia="zh-CN"/>
        </w:rPr>
        <w:t>智杰建设管理有限公司</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叶靓靓</w:t>
      </w:r>
      <w:r>
        <w:rPr>
          <w:rFonts w:hint="eastAsia" w:ascii="宋体" w:hAnsi="宋体" w:cs="宋体"/>
          <w:color w:val="auto"/>
          <w:sz w:val="24"/>
          <w:highlight w:val="none"/>
        </w:rPr>
        <w:t xml:space="preserve"> </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lang w:val="en-US" w:eastAsia="zh-CN"/>
        </w:rPr>
        <w:t>0575-89280055</w:t>
      </w:r>
      <w:r>
        <w:rPr>
          <w:rFonts w:hint="eastAsia" w:ascii="宋体" w:hAnsi="宋体" w:cs="宋体"/>
          <w:color w:val="auto"/>
          <w:sz w:val="24"/>
          <w:highlight w:val="none"/>
        </w:rPr>
        <w:t xml:space="preserve">      </w:t>
      </w:r>
    </w:p>
    <w:p>
      <w:pPr>
        <w:adjustRightInd w:val="0"/>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上</w:t>
      </w:r>
      <w:r>
        <w:rPr>
          <w:rFonts w:hint="eastAsia" w:ascii="宋体" w:hAnsi="宋体" w:cs="宋体"/>
          <w:color w:val="auto"/>
          <w:sz w:val="24"/>
          <w:highlight w:val="none"/>
        </w:rPr>
        <w:t>虞区</w:t>
      </w:r>
      <w:r>
        <w:rPr>
          <w:rFonts w:hint="eastAsia" w:ascii="宋体" w:hAnsi="宋体" w:cs="宋体"/>
          <w:color w:val="auto"/>
          <w:sz w:val="24"/>
          <w:highlight w:val="none"/>
          <w:lang w:val="en-US" w:eastAsia="zh-CN"/>
        </w:rPr>
        <w:t>百官街道江东北路588号百官广场</w:t>
      </w:r>
    </w:p>
    <w:p>
      <w:pPr>
        <w:adjustRightInd w:val="0"/>
        <w:spacing w:line="360" w:lineRule="auto"/>
        <w:ind w:firstLine="480" w:firstLineChars="200"/>
        <w:rPr>
          <w:rFonts w:hint="eastAsia" w:ascii="宋体" w:hAnsi="宋体" w:cs="宋体"/>
          <w:color w:val="auto"/>
          <w:sz w:val="24"/>
          <w:highlight w:val="none"/>
        </w:rPr>
      </w:pPr>
    </w:p>
    <w:p>
      <w:pPr>
        <w:rPr>
          <w:color w:val="auto"/>
          <w:highlight w:val="none"/>
        </w:rPr>
      </w:pP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3．同级政府采购监督管理部门名称：上虞区财政局政府采购监管科</w:t>
      </w:r>
    </w:p>
    <w:p>
      <w:pPr>
        <w:adjustRightInd w:val="0"/>
        <w:spacing w:line="360" w:lineRule="auto"/>
        <w:ind w:firstLine="480" w:firstLineChars="200"/>
        <w:rPr>
          <w:rFonts w:hint="eastAsia" w:ascii="宋体" w:eastAsia="宋体"/>
          <w:color w:val="auto"/>
          <w:sz w:val="24"/>
          <w:szCs w:val="24"/>
          <w:highlight w:val="none"/>
          <w:lang w:eastAsia="zh-CN"/>
        </w:rPr>
      </w:pPr>
      <w:r>
        <w:rPr>
          <w:rFonts w:hint="eastAsia" w:ascii="宋体" w:hAnsi="宋体" w:cs="宋体"/>
          <w:color w:val="auto"/>
          <w:sz w:val="24"/>
          <w:highlight w:val="none"/>
        </w:rPr>
        <w:t>联系人：</w:t>
      </w:r>
      <w:r>
        <w:rPr>
          <w:rFonts w:hint="eastAsia" w:ascii="宋体" w:hAnsi="宋体" w:cs="宋体"/>
          <w:color w:val="auto"/>
          <w:sz w:val="24"/>
          <w:szCs w:val="24"/>
          <w:highlight w:val="none"/>
          <w:lang w:val="en-US" w:eastAsia="zh-CN"/>
        </w:rPr>
        <w:t>谷先生</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监督投诉电话：0575-82130212</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传真：0575-82130212</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地址：绍兴市上虞区体育场路18号</w:t>
      </w:r>
    </w:p>
    <w:p>
      <w:pPr>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br w:type="page"/>
      </w:r>
      <w:bookmarkStart w:id="6" w:name="_Toc11190"/>
      <w:bookmarkStart w:id="7" w:name="_Toc29834"/>
      <w:r>
        <w:rPr>
          <w:rStyle w:val="32"/>
          <w:rFonts w:hint="eastAsia"/>
          <w:color w:val="auto"/>
          <w:sz w:val="36"/>
          <w:szCs w:val="21"/>
          <w:highlight w:val="none"/>
        </w:rPr>
        <w:t>第二部分</w:t>
      </w:r>
      <w:bookmarkEnd w:id="2"/>
      <w:bookmarkEnd w:id="3"/>
      <w:r>
        <w:rPr>
          <w:rStyle w:val="32"/>
          <w:rFonts w:hint="eastAsia"/>
          <w:color w:val="auto"/>
          <w:sz w:val="36"/>
          <w:szCs w:val="21"/>
          <w:highlight w:val="none"/>
        </w:rPr>
        <w:t>供应商须知</w:t>
      </w:r>
      <w:bookmarkEnd w:id="6"/>
      <w:bookmarkEnd w:id="7"/>
    </w:p>
    <w:p>
      <w:pPr>
        <w:widowControl/>
        <w:adjustRightInd w:val="0"/>
        <w:snapToGrid w:val="0"/>
        <w:spacing w:line="360" w:lineRule="auto"/>
        <w:jc w:val="center"/>
        <w:rPr>
          <w:rFonts w:ascii="宋体" w:hAnsi="宋体" w:cs="宋体"/>
          <w:b/>
          <w:snapToGrid w:val="0"/>
          <w:color w:val="auto"/>
          <w:kern w:val="0"/>
          <w:sz w:val="32"/>
          <w:szCs w:val="32"/>
          <w:highlight w:val="none"/>
        </w:rPr>
      </w:pPr>
      <w:r>
        <w:rPr>
          <w:rFonts w:hint="eastAsia" w:ascii="宋体" w:hAnsi="宋体" w:cs="宋体"/>
          <w:b/>
          <w:snapToGrid w:val="0"/>
          <w:color w:val="auto"/>
          <w:kern w:val="0"/>
          <w:sz w:val="30"/>
          <w:szCs w:val="30"/>
          <w:highlight w:val="none"/>
        </w:rPr>
        <w:t>供应商须知前附表</w:t>
      </w:r>
    </w:p>
    <w:tbl>
      <w:tblPr>
        <w:tblStyle w:val="23"/>
        <w:tblW w:w="913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8"/>
        <w:gridCol w:w="1800"/>
        <w:gridCol w:w="668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648" w:type="dxa"/>
            <w:vAlign w:val="center"/>
          </w:tcPr>
          <w:p>
            <w:pPr>
              <w:snapToGrid w:val="0"/>
              <w:jc w:val="center"/>
              <w:rPr>
                <w:rFonts w:ascii="宋体" w:hAnsi="宋体" w:cs="宋体"/>
                <w:b/>
                <w:bCs/>
                <w:snapToGrid w:val="0"/>
                <w:color w:val="auto"/>
                <w:kern w:val="0"/>
                <w:szCs w:val="21"/>
                <w:highlight w:val="none"/>
              </w:rPr>
            </w:pPr>
            <w:r>
              <w:rPr>
                <w:rFonts w:hint="eastAsia" w:ascii="宋体" w:hAnsi="宋体" w:cs="宋体"/>
                <w:b/>
                <w:bCs/>
                <w:snapToGrid w:val="0"/>
                <w:color w:val="auto"/>
                <w:kern w:val="0"/>
                <w:szCs w:val="21"/>
                <w:highlight w:val="none"/>
              </w:rPr>
              <w:t>序号</w:t>
            </w:r>
          </w:p>
        </w:tc>
        <w:tc>
          <w:tcPr>
            <w:tcW w:w="1800" w:type="dxa"/>
            <w:vAlign w:val="center"/>
          </w:tcPr>
          <w:p>
            <w:pPr>
              <w:snapToGrid w:val="0"/>
              <w:jc w:val="center"/>
              <w:rPr>
                <w:rFonts w:ascii="宋体" w:hAnsi="宋体" w:cs="宋体"/>
                <w:b/>
                <w:bCs/>
                <w:snapToGrid w:val="0"/>
                <w:color w:val="auto"/>
                <w:kern w:val="0"/>
                <w:szCs w:val="21"/>
                <w:highlight w:val="none"/>
              </w:rPr>
            </w:pPr>
            <w:r>
              <w:rPr>
                <w:rFonts w:hint="eastAsia" w:ascii="宋体" w:hAnsi="宋体" w:cs="宋体"/>
                <w:b/>
                <w:bCs/>
                <w:snapToGrid w:val="0"/>
                <w:color w:val="auto"/>
                <w:kern w:val="0"/>
                <w:szCs w:val="21"/>
                <w:highlight w:val="none"/>
              </w:rPr>
              <w:t>项目</w:t>
            </w:r>
          </w:p>
        </w:tc>
        <w:tc>
          <w:tcPr>
            <w:tcW w:w="6682" w:type="dxa"/>
            <w:vAlign w:val="center"/>
          </w:tcPr>
          <w:p>
            <w:pPr>
              <w:snapToGrid w:val="0"/>
              <w:jc w:val="center"/>
              <w:rPr>
                <w:rFonts w:ascii="宋体" w:hAnsi="宋体" w:cs="宋体"/>
                <w:b/>
                <w:bCs/>
                <w:snapToGrid w:val="0"/>
                <w:color w:val="auto"/>
                <w:kern w:val="0"/>
                <w:szCs w:val="21"/>
                <w:highlight w:val="none"/>
              </w:rPr>
            </w:pPr>
            <w:r>
              <w:rPr>
                <w:rFonts w:hint="eastAsia" w:ascii="宋体" w:hAnsi="宋体" w:cs="宋体"/>
                <w:b/>
                <w:bCs/>
                <w:snapToGrid w:val="0"/>
                <w:color w:val="auto"/>
                <w:kern w:val="0"/>
                <w:szCs w:val="21"/>
                <w:highlight w:val="none"/>
              </w:rPr>
              <w:t>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项目名称</w:t>
            </w:r>
          </w:p>
        </w:tc>
        <w:tc>
          <w:tcPr>
            <w:tcW w:w="6682" w:type="dxa"/>
            <w:vAlign w:val="center"/>
          </w:tcPr>
          <w:p>
            <w:pPr>
              <w:snapToGrid w:val="0"/>
              <w:rPr>
                <w:rFonts w:ascii="宋体" w:hAnsi="宋体" w:cs="宋体"/>
                <w:snapToGrid w:val="0"/>
                <w:color w:val="auto"/>
                <w:kern w:val="0"/>
                <w:szCs w:val="21"/>
                <w:highlight w:val="none"/>
              </w:rPr>
            </w:pPr>
            <w:r>
              <w:rPr>
                <w:rFonts w:hint="eastAsia" w:ascii="宋体" w:hAnsi="宋体" w:cs="宋体"/>
                <w:color w:val="auto"/>
                <w:sz w:val="24"/>
                <w:highlight w:val="none"/>
                <w:u w:val="none"/>
                <w:lang w:val="en-US" w:eastAsia="zh-CN"/>
              </w:rPr>
              <w:t>绍兴市上虞区应急管理局避灾安置场所房屋安全鉴定检测采购项目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2</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服务周期</w:t>
            </w:r>
          </w:p>
        </w:tc>
        <w:tc>
          <w:tcPr>
            <w:tcW w:w="6682" w:type="dxa"/>
            <w:vAlign w:val="center"/>
          </w:tcPr>
          <w:p>
            <w:pPr>
              <w:ind w:firstLine="422" w:firstLineChars="200"/>
              <w:rPr>
                <w:rFonts w:ascii="宋体" w:hAnsi="宋体" w:cs="宋体"/>
                <w:color w:val="auto"/>
                <w:szCs w:val="21"/>
                <w:highlight w:val="none"/>
              </w:rPr>
            </w:pPr>
            <w:r>
              <w:rPr>
                <w:rFonts w:hint="eastAsia" w:ascii="宋体" w:hAnsi="宋体" w:cs="宋体"/>
                <w:b/>
                <w:snapToGrid w:val="0"/>
                <w:color w:val="auto"/>
                <w:kern w:val="0"/>
                <w:szCs w:val="21"/>
                <w:highlight w:val="none"/>
              </w:rPr>
              <w:t>自合同签订之日起至合同履行完毕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3</w:t>
            </w:r>
          </w:p>
        </w:tc>
        <w:tc>
          <w:tcPr>
            <w:tcW w:w="1800" w:type="dxa"/>
            <w:vAlign w:val="center"/>
          </w:tcPr>
          <w:p>
            <w:pPr>
              <w:snapToGrid w:val="0"/>
              <w:jc w:val="center"/>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最高限价</w:t>
            </w:r>
          </w:p>
        </w:tc>
        <w:tc>
          <w:tcPr>
            <w:tcW w:w="6682" w:type="dxa"/>
            <w:vAlign w:val="center"/>
          </w:tcPr>
          <w:p>
            <w:pPr>
              <w:snapToGrid w:val="0"/>
              <w:ind w:firstLine="420" w:firstLineChars="200"/>
              <w:rPr>
                <w:rFonts w:ascii="宋体" w:hAnsi="宋体" w:cs="宋体"/>
                <w:b/>
                <w:snapToGrid w:val="0"/>
                <w:color w:val="auto"/>
                <w:kern w:val="0"/>
                <w:szCs w:val="21"/>
                <w:highlight w:val="none"/>
              </w:rPr>
            </w:pPr>
            <w:r>
              <w:rPr>
                <w:rFonts w:hint="eastAsia" w:ascii="宋体" w:hAnsi="宋体" w:cs="宋体"/>
                <w:color w:val="auto"/>
                <w:szCs w:val="21"/>
                <w:highlight w:val="none"/>
              </w:rPr>
              <w:t>本项目最高限价人民币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70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万元。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 xml:space="preserve">                                                                                                   4</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资格审查方式</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资格审查是指开标后，磋商小组将依据法律法规和磋商文件的规定对供应商的资格进行审查。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5</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踏勘现场</w:t>
            </w:r>
          </w:p>
        </w:tc>
        <w:tc>
          <w:tcPr>
            <w:tcW w:w="6682" w:type="dxa"/>
            <w:vAlign w:val="center"/>
          </w:tcPr>
          <w:p>
            <w:pPr>
              <w:snapToGrid w:val="0"/>
              <w:ind w:firstLine="422" w:firstLineChars="200"/>
              <w:rPr>
                <w:rFonts w:ascii="宋体" w:hAnsi="宋体" w:cs="宋体"/>
                <w:snapToGrid w:val="0"/>
                <w:color w:val="auto"/>
                <w:kern w:val="0"/>
                <w:szCs w:val="21"/>
                <w:highlight w:val="none"/>
              </w:rPr>
            </w:pPr>
            <w:r>
              <w:rPr>
                <w:rFonts w:hint="eastAsia" w:ascii="宋体" w:hAnsi="宋体" w:cs="宋体"/>
                <w:b/>
                <w:snapToGrid w:val="0"/>
                <w:color w:val="auto"/>
                <w:kern w:val="0"/>
                <w:szCs w:val="21"/>
                <w:highlight w:val="none"/>
              </w:rPr>
              <w:t>本项目不组织现场踏勘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6</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询问</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供应商对政府采购活动事项有疑问的，可以向采购机构提出询问，采购人或者招标代理机构应当在3个工作日内对供应商依法提出的询问作出答复，但答复的内容不得涉及商业秘密。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7</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磋商文件的澄清与修改</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采购单位可以对已发出的磋商文件进行必要澄清或者修改，澄清或者修改的内容可能影响响应文件编制的，应当在提交首次响应文件截至时间至少5日前，在磋商公告发布的媒体上发布更正公告。本项目磋商文件和补充（答疑、澄清）、修改文件等请自行登录浙江政府采购网或绍兴市上虞区公共资源交易中心网站查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8</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磋商响应文件组成</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供应商向采购人递交的响应文件由资格文件、商务技术文件、报价文件三部分组成。</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9</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评标办法</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10</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磋商响应文件递交地址及截止时间</w:t>
            </w:r>
          </w:p>
        </w:tc>
        <w:tc>
          <w:tcPr>
            <w:tcW w:w="6682" w:type="dxa"/>
            <w:vAlign w:val="center"/>
          </w:tcPr>
          <w:p>
            <w:pPr>
              <w:snapToGrid w:val="0"/>
              <w:ind w:firstLine="420" w:firstLineChars="200"/>
              <w:rPr>
                <w:rFonts w:ascii="宋体" w:hAnsi="宋体" w:cs="宋体"/>
                <w:color w:val="auto"/>
                <w:kern w:val="0"/>
                <w:szCs w:val="21"/>
                <w:highlight w:val="none"/>
              </w:rPr>
            </w:pPr>
            <w:r>
              <w:rPr>
                <w:rFonts w:hint="eastAsia" w:ascii="宋体" w:hAnsi="宋体" w:cs="宋体"/>
                <w:snapToGrid w:val="0"/>
                <w:color w:val="auto"/>
                <w:kern w:val="0"/>
                <w:szCs w:val="21"/>
                <w:highlight w:val="none"/>
              </w:rPr>
              <w:t>详见磋商公告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11</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开标时间、地点</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开标时间：</w:t>
            </w:r>
            <w:r>
              <w:rPr>
                <w:rFonts w:hint="eastAsia" w:ascii="宋体" w:hAnsi="宋体" w:cs="宋体"/>
                <w:color w:val="auto"/>
                <w:kern w:val="0"/>
                <w:szCs w:val="21"/>
                <w:highlight w:val="none"/>
              </w:rPr>
              <w:t>详见磋商公告</w:t>
            </w:r>
          </w:p>
          <w:p>
            <w:pPr>
              <w:snapToGrid w:val="0"/>
              <w:ind w:firstLine="420" w:firstLineChars="200"/>
              <w:rPr>
                <w:rFonts w:ascii="宋体" w:hAnsi="宋体" w:cs="宋体"/>
                <w:color w:val="auto"/>
                <w:kern w:val="0"/>
                <w:szCs w:val="21"/>
                <w:highlight w:val="none"/>
              </w:rPr>
            </w:pPr>
            <w:r>
              <w:rPr>
                <w:rFonts w:hint="eastAsia" w:ascii="宋体" w:hAnsi="宋体" w:cs="宋体"/>
                <w:snapToGrid w:val="0"/>
                <w:color w:val="auto"/>
                <w:kern w:val="0"/>
                <w:szCs w:val="21"/>
                <w:highlight w:val="none"/>
              </w:rPr>
              <w:t>开标地点：</w:t>
            </w:r>
            <w:r>
              <w:rPr>
                <w:rFonts w:hint="eastAsia" w:ascii="宋体" w:hAnsi="宋体" w:cs="宋体"/>
                <w:color w:val="auto"/>
                <w:kern w:val="0"/>
                <w:szCs w:val="21"/>
                <w:highlight w:val="none"/>
              </w:rPr>
              <w:t>详见磋商公告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12</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磋商响应文件有效期</w:t>
            </w:r>
          </w:p>
        </w:tc>
        <w:tc>
          <w:tcPr>
            <w:tcW w:w="6682" w:type="dxa"/>
            <w:vAlign w:val="center"/>
          </w:tcPr>
          <w:p>
            <w:pPr>
              <w:snapToGrid w:val="0"/>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响应文件有效期为从提交响应文件的截止之日起90天。供应商的响应文件中承诺的响应文件有效期少于磋商文件中载明的响应文件有效期的，磋商无效。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13</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履约保证金</w:t>
            </w:r>
          </w:p>
        </w:tc>
        <w:tc>
          <w:tcPr>
            <w:tcW w:w="6682" w:type="dxa"/>
            <w:vAlign w:val="center"/>
          </w:tcPr>
          <w:p>
            <w:pPr>
              <w:pStyle w:val="14"/>
              <w:adjustRightInd w:val="0"/>
              <w:snapToGrid w:val="0"/>
              <w:ind w:firstLine="420" w:firstLineChars="200"/>
              <w:rPr>
                <w:rFonts w:hAnsi="宋体" w:cs="宋体"/>
                <w:snapToGrid w:val="0"/>
                <w:color w:val="auto"/>
                <w:kern w:val="0"/>
                <w:highlight w:val="none"/>
              </w:rPr>
            </w:pPr>
            <w:r>
              <w:rPr>
                <w:rFonts w:hint="eastAsia" w:hAnsi="宋体" w:cs="宋体"/>
                <w:snapToGrid w:val="0"/>
                <w:color w:val="auto"/>
                <w:kern w:val="0"/>
                <w:highlight w:val="none"/>
              </w:rPr>
              <w:t>供应商在收到成交通知书后，需向采购人提供合同总价</w:t>
            </w:r>
            <w:r>
              <w:rPr>
                <w:rFonts w:hint="eastAsia" w:hAnsi="宋体" w:cs="宋体"/>
                <w:snapToGrid w:val="0"/>
                <w:color w:val="auto"/>
                <w:kern w:val="0"/>
                <w:highlight w:val="none"/>
                <w:u w:val="single"/>
              </w:rPr>
              <w:t>　</w:t>
            </w:r>
            <w:r>
              <w:rPr>
                <w:rFonts w:hAnsi="宋体" w:cs="宋体"/>
                <w:snapToGrid w:val="0"/>
                <w:color w:val="auto"/>
                <w:kern w:val="0"/>
                <w:highlight w:val="none"/>
                <w:u w:val="single"/>
              </w:rPr>
              <w:t>5</w:t>
            </w:r>
            <w:r>
              <w:rPr>
                <w:rFonts w:hint="eastAsia" w:hAnsi="宋体" w:cs="宋体"/>
                <w:snapToGrid w:val="0"/>
                <w:color w:val="auto"/>
                <w:kern w:val="0"/>
                <w:highlight w:val="none"/>
                <w:u w:val="single"/>
              </w:rPr>
              <w:t>　</w:t>
            </w:r>
            <w:r>
              <w:rPr>
                <w:rFonts w:hAnsi="宋体" w:cs="宋体"/>
                <w:snapToGrid w:val="0"/>
                <w:color w:val="auto"/>
                <w:kern w:val="0"/>
                <w:highlight w:val="none"/>
              </w:rPr>
              <w:t>%</w:t>
            </w:r>
            <w:r>
              <w:rPr>
                <w:rFonts w:hint="eastAsia" w:hAnsi="宋体" w:cs="宋体"/>
                <w:snapToGrid w:val="0"/>
                <w:color w:val="auto"/>
                <w:kern w:val="0"/>
                <w:highlight w:val="none"/>
              </w:rPr>
              <w:t>的履约保证金，在供应商与采购人签订合同前递交。（供应商应当以支票、汇票、本票或者金融机构、保险公司、担保机构出具的保函等非现金形式提交）</w:t>
            </w:r>
          </w:p>
          <w:p>
            <w:pPr>
              <w:pStyle w:val="14"/>
              <w:snapToGrid w:val="0"/>
              <w:ind w:firstLine="420" w:firstLineChars="200"/>
              <w:rPr>
                <w:rFonts w:hAnsi="宋体" w:cs="宋体"/>
                <w:color w:val="auto"/>
                <w:kern w:val="0"/>
                <w:highlight w:val="none"/>
              </w:rPr>
            </w:pPr>
            <w:r>
              <w:rPr>
                <w:rFonts w:hint="eastAsia"/>
                <w:color w:val="auto"/>
                <w:highlight w:val="none"/>
              </w:rPr>
              <w:t>履约保证金在合同履行完毕后</w:t>
            </w:r>
            <w:r>
              <w:rPr>
                <w:color w:val="auto"/>
                <w:highlight w:val="none"/>
              </w:rPr>
              <w:t>20</w:t>
            </w:r>
            <w:r>
              <w:rPr>
                <w:rFonts w:hint="eastAsia"/>
                <w:color w:val="auto"/>
                <w:highlight w:val="none"/>
              </w:rPr>
              <w:t>个工作日内予以无息退还。</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14</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磋商公告及成交结果公告发布媒体</w:t>
            </w:r>
          </w:p>
        </w:tc>
        <w:tc>
          <w:tcPr>
            <w:tcW w:w="6682" w:type="dxa"/>
            <w:vAlign w:val="center"/>
          </w:tcPr>
          <w:p>
            <w:pPr>
              <w:pStyle w:val="14"/>
              <w:snapToGrid w:val="0"/>
              <w:ind w:firstLine="420" w:firstLineChars="200"/>
              <w:jc w:val="left"/>
              <w:rPr>
                <w:rFonts w:hAnsi="宋体" w:cs="宋体"/>
                <w:color w:val="auto"/>
                <w:kern w:val="0"/>
                <w:highlight w:val="none"/>
              </w:rPr>
            </w:pPr>
            <w:r>
              <w:rPr>
                <w:rFonts w:hint="eastAsia" w:hAnsi="宋体" w:cs="宋体"/>
                <w:color w:val="auto"/>
                <w:kern w:val="0"/>
                <w:highlight w:val="none"/>
              </w:rPr>
              <w:t>浙江省政府采购网、 绍兴市上虞区公共资源交易中心网站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15</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质疑</w:t>
            </w:r>
          </w:p>
        </w:tc>
        <w:tc>
          <w:tcPr>
            <w:tcW w:w="6682" w:type="dxa"/>
            <w:vAlign w:val="center"/>
          </w:tcPr>
          <w:p>
            <w:pPr>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根据《中华人民共和国政府采购法》第五十二条、《中华人民共和国政府采购法实施条例》第五十三条、《浙江省政府采购供应商质疑处理办法》的规定：</w:t>
            </w:r>
          </w:p>
          <w:p>
            <w:pPr>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供应商认为磋商文件使自己的权益受到损害的，可以在磋商文件公告期限届满之日（公告发布后的第6个工作日）起7个工作日内，以书面形式向采购人和采购代理机构提出质疑。供应商在法定质疑期内应一次性提出针对同一采购程序环节的质疑。否则质疑将不予受理。</w:t>
            </w:r>
          </w:p>
          <w:p>
            <w:pPr>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供应商如认为采购过程使自身的合法权益受到损害的，应于各采购程序环节结束之日起七个工作日内以书面形式向采购机构提出质疑；</w:t>
            </w:r>
          </w:p>
          <w:p>
            <w:pPr>
              <w:snapToGrid w:val="0"/>
              <w:ind w:firstLine="420" w:firstLineChars="200"/>
              <w:jc w:val="left"/>
              <w:rPr>
                <w:rFonts w:ascii="宋体" w:hAnsi="宋体" w:cs="宋体"/>
                <w:snapToGrid w:val="0"/>
                <w:color w:val="auto"/>
                <w:kern w:val="0"/>
                <w:szCs w:val="21"/>
                <w:highlight w:val="none"/>
              </w:rPr>
            </w:pPr>
            <w:r>
              <w:rPr>
                <w:rFonts w:hint="eastAsia" w:ascii="宋体" w:hAnsi="宋体" w:cs="宋体"/>
                <w:color w:val="auto"/>
                <w:szCs w:val="21"/>
                <w:highlight w:val="none"/>
              </w:rPr>
              <w:t>供应商如认为中标结果使自身的合法权益受到损害的，应于中标或者成交结果公告期限届满之日起七个工作日内以书面形式向采购机构提出质疑</w:t>
            </w:r>
            <w:r>
              <w:rPr>
                <w:rFonts w:hint="eastAsia" w:ascii="宋体" w:hAnsi="宋体" w:cs="宋体"/>
                <w:snapToGrid w:val="0"/>
                <w:color w:val="auto"/>
                <w:kern w:val="0"/>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16</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投诉</w:t>
            </w:r>
          </w:p>
        </w:tc>
        <w:tc>
          <w:tcPr>
            <w:tcW w:w="6682" w:type="dxa"/>
            <w:vAlign w:val="center"/>
          </w:tcPr>
          <w:p>
            <w:pPr>
              <w:snapToGrid w:val="0"/>
              <w:ind w:firstLine="420" w:firstLineChars="200"/>
              <w:jc w:val="left"/>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根据《政府采购法》第五十五条的规定，质疑供应商对采购人、招标代理机构的答复不满意或者采购人、招标代理机构未在规定的时间内作出答复的，可以在答复期满后十五个工作日内向同级政府采购监督管理部门投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17</w:t>
            </w:r>
          </w:p>
        </w:tc>
        <w:tc>
          <w:tcPr>
            <w:tcW w:w="1800"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特别说明</w:t>
            </w:r>
          </w:p>
        </w:tc>
        <w:tc>
          <w:tcPr>
            <w:tcW w:w="6682" w:type="dxa"/>
            <w:vAlign w:val="center"/>
          </w:tcPr>
          <w:p>
            <w:pPr>
              <w:pStyle w:val="14"/>
              <w:snapToGrid w:val="0"/>
              <w:ind w:firstLine="420" w:firstLineChars="200"/>
              <w:jc w:val="left"/>
              <w:rPr>
                <w:rFonts w:hAnsi="宋体" w:cs="宋体"/>
                <w:color w:val="auto"/>
                <w:kern w:val="0"/>
                <w:highlight w:val="none"/>
              </w:rPr>
            </w:pPr>
            <w:r>
              <w:rPr>
                <w:rFonts w:hint="eastAsia" w:hAnsi="宋体" w:cs="宋体"/>
                <w:color w:val="auto"/>
                <w:kern w:val="0"/>
                <w:highlight w:val="none"/>
              </w:rPr>
              <w:t>供应商应无条件的、认真仔细的阅读本磋商文件及其澄清答疑、修改答复的补充文件，严格按照磋商文件及补充文件的规定和要求编制响应文件。在编制响应文件过程中，应严格遵循实事求是、诚信投标的原则，针对磋商文件中的采购需求、合同条款等各项内容进行确认，如有偏离，应如实填写响应偏离表。</w:t>
            </w:r>
          </w:p>
          <w:p>
            <w:pPr>
              <w:pStyle w:val="14"/>
              <w:snapToGrid w:val="0"/>
              <w:ind w:firstLine="420" w:firstLineChars="200"/>
              <w:jc w:val="left"/>
              <w:rPr>
                <w:rFonts w:hAnsi="宋体" w:cs="宋体"/>
                <w:color w:val="auto"/>
                <w:kern w:val="0"/>
                <w:highlight w:val="none"/>
              </w:rPr>
            </w:pPr>
            <w:r>
              <w:rPr>
                <w:rFonts w:hint="eastAsia" w:hAnsi="宋体" w:cs="宋体"/>
                <w:color w:val="auto"/>
                <w:kern w:val="0"/>
                <w:highlight w:val="none"/>
              </w:rPr>
              <w:t>该项目结果公告期间，供应商不得通过非正当途径、更不得通过非正当手段获取法律法规规定评标委员会（包括其他相关人员）应当保密的相关内容。即便由此获得资料并作为向采购人或招标代理机构或监督管理部门提出异（质）疑或投诉或法院起诉的理由，均属于非法索取的依据。</w:t>
            </w:r>
          </w:p>
          <w:p>
            <w:pPr>
              <w:pStyle w:val="14"/>
              <w:snapToGrid w:val="0"/>
              <w:ind w:firstLine="420" w:firstLineChars="200"/>
              <w:jc w:val="left"/>
              <w:rPr>
                <w:rFonts w:hAnsi="宋体" w:cs="宋体"/>
                <w:color w:val="auto"/>
                <w:kern w:val="0"/>
                <w:highlight w:val="none"/>
              </w:rPr>
            </w:pPr>
            <w:r>
              <w:rPr>
                <w:rFonts w:hint="eastAsia" w:hAnsi="宋体" w:cs="宋体"/>
                <w:color w:val="auto"/>
                <w:kern w:val="0"/>
                <w:highlight w:val="none"/>
              </w:rPr>
              <w:t>质疑、投诉人未按前列进行质疑、投诉（申诉），均属于扰乱政府采购市场不良行为。</w:t>
            </w:r>
          </w:p>
          <w:p>
            <w:pPr>
              <w:pStyle w:val="14"/>
              <w:snapToGrid w:val="0"/>
              <w:ind w:firstLine="420" w:firstLineChars="200"/>
              <w:jc w:val="left"/>
              <w:rPr>
                <w:rFonts w:hAnsi="宋体" w:cs="宋体"/>
                <w:b/>
                <w:color w:val="auto"/>
                <w:kern w:val="0"/>
                <w:highlight w:val="none"/>
              </w:rPr>
            </w:pPr>
            <w:r>
              <w:rPr>
                <w:rFonts w:hint="eastAsia" w:hAnsi="宋体" w:cs="宋体"/>
                <w:color w:val="auto"/>
                <w:kern w:val="0"/>
                <w:highlight w:val="none"/>
              </w:rPr>
              <w:t>磋商文件中凡标注“</w:t>
            </w:r>
            <w:r>
              <w:rPr>
                <w:rFonts w:hint="eastAsia" w:hAnsi="宋体" w:cs="宋体"/>
                <w:color w:val="auto"/>
                <w:highlight w:val="none"/>
              </w:rPr>
              <w:t>★</w:t>
            </w:r>
            <w:r>
              <w:rPr>
                <w:rFonts w:hint="eastAsia" w:hAnsi="宋体" w:cs="宋体"/>
                <w:color w:val="auto"/>
                <w:kern w:val="0"/>
                <w:highlight w:val="none"/>
              </w:rPr>
              <w:t>”的条款均为实质性要求，不响应的响应文件将作无效标处理。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18</w:t>
            </w:r>
          </w:p>
        </w:tc>
        <w:tc>
          <w:tcPr>
            <w:tcW w:w="1800"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招标代理服务费</w:t>
            </w:r>
          </w:p>
        </w:tc>
        <w:tc>
          <w:tcPr>
            <w:tcW w:w="6682" w:type="dxa"/>
            <w:vAlign w:val="center"/>
          </w:tcPr>
          <w:p>
            <w:pPr>
              <w:rPr>
                <w:rFonts w:ascii="宋体" w:hAnsi="宋体" w:cs="宋体"/>
                <w:color w:val="auto"/>
                <w:kern w:val="1"/>
                <w:szCs w:val="21"/>
                <w:highlight w:val="none"/>
              </w:rPr>
            </w:pPr>
            <w:r>
              <w:rPr>
                <w:rFonts w:hint="eastAsia" w:ascii="宋体" w:hAnsi="宋体" w:cs="宋体"/>
                <w:color w:val="auto"/>
                <w:kern w:val="1"/>
                <w:szCs w:val="21"/>
                <w:highlight w:val="none"/>
              </w:rPr>
              <w:t>代理费用：</w:t>
            </w:r>
            <w:r>
              <w:rPr>
                <w:rFonts w:hint="eastAsia" w:ascii="宋体" w:hAnsi="宋体" w:cs="宋体"/>
                <w:color w:val="auto"/>
                <w:kern w:val="1"/>
                <w:szCs w:val="21"/>
                <w:highlight w:val="none"/>
                <w:lang w:val="en-US" w:eastAsia="zh-CN"/>
              </w:rPr>
              <w:t>采购人</w:t>
            </w:r>
            <w:r>
              <w:rPr>
                <w:rFonts w:hint="eastAsia" w:ascii="宋体" w:hAnsi="宋体" w:cs="宋体"/>
                <w:color w:val="auto"/>
                <w:kern w:val="1"/>
                <w:szCs w:val="21"/>
                <w:highlight w:val="none"/>
              </w:rPr>
              <w:t>需向采购代理机构支付代理服务费，</w:t>
            </w:r>
            <w:r>
              <w:rPr>
                <w:rFonts w:hint="eastAsia" w:ascii="宋体" w:hAnsi="宋体"/>
                <w:color w:val="auto"/>
                <w:sz w:val="24"/>
                <w:highlight w:val="none"/>
              </w:rPr>
              <w:t>按计价[2002]1980号文件计取</w:t>
            </w:r>
            <w:r>
              <w:rPr>
                <w:rFonts w:hint="eastAsia" w:ascii="宋体" w:hAnsi="宋体" w:cs="宋体"/>
                <w:color w:val="auto"/>
                <w:kern w:val="1"/>
                <w:szCs w:val="21"/>
                <w:highlight w:val="none"/>
              </w:rPr>
              <w:t>。</w:t>
            </w:r>
          </w:p>
          <w:tbl>
            <w:tblPr>
              <w:tblStyle w:val="23"/>
              <w:tblW w:w="4730" w:type="pct"/>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101"/>
              <w:gridCol w:w="1006"/>
              <w:gridCol w:w="1006"/>
              <w:gridCol w:w="9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jc w:val="center"/>
              </w:trPr>
              <w:tc>
                <w:tcPr>
                  <w:tcW w:w="311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服务类型 中标金额（万元）</w:t>
                  </w:r>
                </w:p>
              </w:tc>
              <w:tc>
                <w:tcPr>
                  <w:tcW w:w="1008" w:type="dxa"/>
                  <w:tcBorders>
                    <w:top w:val="outset" w:color="auto" w:sz="6" w:space="0"/>
                    <w:left w:val="outset" w:color="auto" w:sz="6" w:space="0"/>
                    <w:bottom w:val="outset" w:color="auto" w:sz="6" w:space="0"/>
                    <w:right w:val="outset" w:color="auto" w:sz="6" w:space="0"/>
                  </w:tcBorders>
                  <w:vAlign w:val="center"/>
                </w:tcPr>
                <w:p>
                  <w:pPr>
                    <w:pStyle w:val="21"/>
                    <w:jc w:val="center"/>
                    <w:rPr>
                      <w:rFonts w:cs="宋体"/>
                      <w:color w:val="auto"/>
                      <w:sz w:val="21"/>
                      <w:szCs w:val="21"/>
                      <w:highlight w:val="none"/>
                    </w:rPr>
                  </w:pPr>
                  <w:r>
                    <w:rPr>
                      <w:rFonts w:hint="eastAsia" w:cs="宋体"/>
                      <w:color w:val="auto"/>
                      <w:sz w:val="21"/>
                      <w:szCs w:val="21"/>
                      <w:highlight w:val="none"/>
                    </w:rPr>
                    <w:t>货物招标</w:t>
                  </w:r>
                </w:p>
              </w:tc>
              <w:tc>
                <w:tcPr>
                  <w:tcW w:w="1008"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服务招标</w:t>
                  </w:r>
                </w:p>
              </w:tc>
              <w:tc>
                <w:tcPr>
                  <w:tcW w:w="977"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工程招标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0" w:hRule="atLeast"/>
                <w:tblCellSpacing w:w="0" w:type="dxa"/>
                <w:jc w:val="center"/>
              </w:trPr>
              <w:tc>
                <w:tcPr>
                  <w:tcW w:w="3110" w:type="dxa"/>
                  <w:tcBorders>
                    <w:top w:val="outset" w:color="auto" w:sz="6" w:space="0"/>
                    <w:left w:val="outset" w:color="auto" w:sz="6" w:space="0"/>
                    <w:bottom w:val="outset" w:color="auto" w:sz="6" w:space="0"/>
                    <w:right w:val="outset" w:color="auto" w:sz="6"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100以下</w:t>
                  </w:r>
                </w:p>
              </w:tc>
              <w:tc>
                <w:tcPr>
                  <w:tcW w:w="1008"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1.5％</w:t>
                  </w:r>
                </w:p>
              </w:tc>
              <w:tc>
                <w:tcPr>
                  <w:tcW w:w="1008"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1.5％</w:t>
                  </w:r>
                </w:p>
              </w:tc>
              <w:tc>
                <w:tcPr>
                  <w:tcW w:w="977" w:type="dxa"/>
                  <w:tcBorders>
                    <w:top w:val="outset" w:color="auto" w:sz="6" w:space="0"/>
                    <w:left w:val="outset" w:color="auto" w:sz="6" w:space="0"/>
                    <w:bottom w:val="outset" w:color="auto" w:sz="6" w:space="0"/>
                    <w:right w:val="outset" w:color="auto" w:sz="6"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1.0％</w:t>
                  </w:r>
                </w:p>
              </w:tc>
            </w:tr>
          </w:tbl>
          <w:p>
            <w:pPr>
              <w:ind w:firstLine="420" w:firstLineChars="200"/>
              <w:rPr>
                <w:rFonts w:ascii="宋体" w:hAnsi="宋体" w:cs="宋体"/>
                <w:snapToGrid w:val="0"/>
                <w:color w:val="auto"/>
                <w:kern w:val="0"/>
                <w:szCs w:val="21"/>
                <w:highlight w:val="none"/>
              </w:rPr>
            </w:pPr>
            <w:r>
              <w:rPr>
                <w:rFonts w:hint="eastAsia" w:ascii="宋体" w:hAnsi="宋体" w:cs="宋体"/>
                <w:color w:val="auto"/>
                <w:kern w:val="1"/>
                <w:szCs w:val="21"/>
                <w:highlight w:val="none"/>
              </w:rPr>
              <w:t>结算方式及时间为：</w:t>
            </w:r>
            <w:r>
              <w:rPr>
                <w:rFonts w:hint="eastAsia" w:ascii="宋体" w:hAnsi="宋体" w:cs="宋体"/>
                <w:color w:val="auto"/>
                <w:kern w:val="1"/>
                <w:szCs w:val="21"/>
                <w:highlight w:val="none"/>
                <w:lang w:val="en-US" w:eastAsia="zh-CN"/>
              </w:rPr>
              <w:t>在合同签订后一周内有采购人支付</w:t>
            </w:r>
            <w:r>
              <w:rPr>
                <w:rFonts w:hint="eastAsia" w:ascii="宋体" w:hAnsi="宋体" w:cs="宋体"/>
                <w:color w:val="auto"/>
                <w:kern w:val="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19</w:t>
            </w:r>
          </w:p>
        </w:tc>
        <w:tc>
          <w:tcPr>
            <w:tcW w:w="1800"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支</w:t>
            </w:r>
          </w:p>
          <w:p>
            <w:pPr>
              <w:snapToGrid w:val="0"/>
              <w:jc w:val="center"/>
              <w:rPr>
                <w:rFonts w:ascii="宋体" w:hAnsi="宋体" w:cs="宋体"/>
                <w:color w:val="auto"/>
                <w:szCs w:val="21"/>
                <w:highlight w:val="none"/>
              </w:rPr>
            </w:pPr>
            <w:r>
              <w:rPr>
                <w:rFonts w:hint="eastAsia" w:ascii="宋体" w:hAnsi="宋体" w:cs="宋体"/>
                <w:color w:val="auto"/>
                <w:szCs w:val="21"/>
                <w:highlight w:val="none"/>
              </w:rPr>
              <w:t>持</w:t>
            </w:r>
          </w:p>
          <w:p>
            <w:pPr>
              <w:snapToGrid w:val="0"/>
              <w:jc w:val="center"/>
              <w:rPr>
                <w:rFonts w:ascii="宋体" w:hAnsi="宋体" w:cs="宋体"/>
                <w:color w:val="auto"/>
                <w:szCs w:val="21"/>
                <w:highlight w:val="none"/>
              </w:rPr>
            </w:pPr>
            <w:r>
              <w:rPr>
                <w:rFonts w:hint="eastAsia" w:ascii="宋体" w:hAnsi="宋体" w:cs="宋体"/>
                <w:color w:val="auto"/>
                <w:szCs w:val="21"/>
                <w:highlight w:val="none"/>
              </w:rPr>
              <w:t>中</w:t>
            </w:r>
          </w:p>
          <w:p>
            <w:pPr>
              <w:snapToGrid w:val="0"/>
              <w:jc w:val="center"/>
              <w:rPr>
                <w:rFonts w:ascii="宋体" w:hAnsi="宋体" w:cs="宋体"/>
                <w:color w:val="auto"/>
                <w:szCs w:val="21"/>
                <w:highlight w:val="none"/>
              </w:rPr>
            </w:pPr>
            <w:r>
              <w:rPr>
                <w:rFonts w:hint="eastAsia" w:ascii="宋体" w:hAnsi="宋体" w:cs="宋体"/>
                <w:color w:val="auto"/>
                <w:szCs w:val="21"/>
                <w:highlight w:val="none"/>
              </w:rPr>
              <w:t>小</w:t>
            </w:r>
          </w:p>
          <w:p>
            <w:pPr>
              <w:snapToGrid w:val="0"/>
              <w:jc w:val="center"/>
              <w:rPr>
                <w:rFonts w:ascii="宋体" w:hAnsi="宋体" w:cs="宋体"/>
                <w:color w:val="auto"/>
                <w:szCs w:val="21"/>
                <w:highlight w:val="none"/>
              </w:rPr>
            </w:pPr>
            <w:r>
              <w:rPr>
                <w:rFonts w:hint="eastAsia" w:ascii="宋体" w:hAnsi="宋体" w:cs="宋体"/>
                <w:color w:val="auto"/>
                <w:szCs w:val="21"/>
                <w:highlight w:val="none"/>
              </w:rPr>
              <w:t>企</w:t>
            </w:r>
          </w:p>
          <w:p>
            <w:pPr>
              <w:snapToGrid w:val="0"/>
              <w:jc w:val="center"/>
              <w:rPr>
                <w:rFonts w:ascii="宋体" w:hAnsi="宋体" w:cs="宋体"/>
                <w:color w:val="auto"/>
                <w:szCs w:val="21"/>
                <w:highlight w:val="none"/>
              </w:rPr>
            </w:pPr>
            <w:r>
              <w:rPr>
                <w:rFonts w:hint="eastAsia" w:ascii="宋体" w:hAnsi="宋体" w:cs="宋体"/>
                <w:color w:val="auto"/>
                <w:szCs w:val="21"/>
                <w:highlight w:val="none"/>
              </w:rPr>
              <w:t>业</w:t>
            </w:r>
          </w:p>
          <w:p>
            <w:pPr>
              <w:snapToGrid w:val="0"/>
              <w:jc w:val="center"/>
              <w:rPr>
                <w:rFonts w:ascii="宋体" w:hAnsi="宋体" w:cs="宋体"/>
                <w:color w:val="auto"/>
                <w:szCs w:val="21"/>
                <w:highlight w:val="none"/>
              </w:rPr>
            </w:pPr>
          </w:p>
        </w:tc>
        <w:tc>
          <w:tcPr>
            <w:tcW w:w="6682"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价格扣除：根据工信部等部委发布的《关于印发中小企业划型标准规定的通知》（工信部联企业〔2011〕300号），根据具体品目确定相应标准。符合上述条件的中小微型企业应按照磋商文件附件12的格式要求提供《中小企业声明函》。符合《关于促进残疾人就业政府采购政策的通知》（财库〔2017〕141号）规定的条件并提供《残疾人福利性单位声明函》（附件14）的残疾人福利性单位视同小型、微型企业；根据《关于政府采购支持监狱企业发展有关问题的通知》（财库[2014]68号）的规定，供应商提供由省级以上监狱管理局、戒毒管理局（含新疆生产建设兵团）出具的属于监狱企业证明文件的，视同为小型和微型企业。</w:t>
            </w:r>
          </w:p>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根据财政部发布的《政府采购促进中小企业发展暂行办法》规定，对于非专门面向此类企业的项目，对小型和微型企业产品的投标价格给予6%的扣除，用扣除后的价格参与评审。</w:t>
            </w:r>
          </w:p>
          <w:p>
            <w:pPr>
              <w:ind w:firstLine="480" w:firstLineChars="200"/>
              <w:rPr>
                <w:rFonts w:ascii="宋体" w:hAnsi="宋体" w:cs="宋体"/>
                <w:color w:val="auto"/>
                <w:sz w:val="24"/>
                <w:highlight w:val="none"/>
              </w:rPr>
            </w:pPr>
            <w:r>
              <w:rPr>
                <w:rFonts w:hint="eastAsia" w:ascii="宋体" w:hAnsi="宋体" w:cs="宋体"/>
                <w:color w:val="auto"/>
                <w:sz w:val="24"/>
                <w:highlight w:val="none"/>
              </w:rPr>
              <w:t>小型、微型企业与大中型企业和其他自然人、法人或者其他组织组成联合体共同参加非专门面向中小企业的政府采购活动。联合协议中约定，小型、微型企业的协议合同金额占到联合体协议合同总金额30%以上的，可给予联合体2%的投标价格扣除。</w:t>
            </w:r>
          </w:p>
          <w:p>
            <w:pPr>
              <w:ind w:firstLine="480" w:firstLineChars="200"/>
              <w:rPr>
                <w:rFonts w:ascii="宋体" w:hAnsi="宋体" w:cs="宋体"/>
                <w:color w:val="auto"/>
                <w:szCs w:val="21"/>
                <w:highlight w:val="none"/>
              </w:rPr>
            </w:pPr>
            <w:r>
              <w:rPr>
                <w:rFonts w:hint="eastAsia" w:ascii="宋体" w:hAnsi="宋体" w:cs="宋体"/>
                <w:color w:val="auto"/>
                <w:sz w:val="24"/>
                <w:highlight w:val="none"/>
              </w:rPr>
              <w:t>联合体各方均为小型、微型企业的，联合体视同为小型、微型企业。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20</w:t>
            </w:r>
          </w:p>
        </w:tc>
        <w:tc>
          <w:tcPr>
            <w:tcW w:w="1800"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是否允许分包</w:t>
            </w:r>
          </w:p>
        </w:tc>
        <w:tc>
          <w:tcPr>
            <w:tcW w:w="6682"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本项目不允许分包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21</w:t>
            </w:r>
          </w:p>
        </w:tc>
        <w:tc>
          <w:tcPr>
            <w:tcW w:w="1800" w:type="dxa"/>
            <w:tcBorders>
              <w:top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是否提供演示</w:t>
            </w:r>
          </w:p>
        </w:tc>
        <w:tc>
          <w:tcPr>
            <w:tcW w:w="6682" w:type="dxa"/>
            <w:tcBorders>
              <w:top w:val="single" w:color="auto" w:sz="4" w:space="0"/>
            </w:tcBorders>
            <w:vAlign w:val="center"/>
          </w:tcPr>
          <w:p>
            <w:pPr>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本项目</w:t>
            </w:r>
            <w:r>
              <w:rPr>
                <w:rFonts w:hint="eastAsia" w:ascii="宋体" w:hAnsi="宋体" w:cs="宋体"/>
                <w:b/>
                <w:bCs/>
                <w:color w:val="auto"/>
                <w:szCs w:val="21"/>
                <w:highlight w:val="none"/>
                <w:u w:val="single"/>
              </w:rPr>
              <w:t xml:space="preserve"> 不需要 </w:t>
            </w:r>
            <w:r>
              <w:rPr>
                <w:rFonts w:hint="eastAsia" w:ascii="宋体" w:hAnsi="宋体" w:cs="宋体"/>
                <w:b/>
                <w:bCs/>
                <w:color w:val="auto"/>
                <w:szCs w:val="21"/>
                <w:highlight w:val="none"/>
              </w:rPr>
              <w:t>提供演示。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22</w:t>
            </w:r>
          </w:p>
        </w:tc>
        <w:tc>
          <w:tcPr>
            <w:tcW w:w="1800"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供应商信用信息查询渠道及截止时点、信用信息查询记录和证据留存的具体方式、信用信息的使用规则</w:t>
            </w:r>
          </w:p>
        </w:tc>
        <w:tc>
          <w:tcPr>
            <w:tcW w:w="6682"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1、查询渠道：信用中国（网址：http://www.creditchina.gov.cn）、中国政府采购网(网址：http://www.ccgp.gov.cn）。</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2、截止时点：开标后评标前。</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3、信用信息查询记录和证据留存的具体方式：由采购组织机构在规定查询时间内打印信用信息查询记录并归入项目档案。</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4、使用规则：对列入失信被执行人、重大税收违法案件当事人名单、政府采购严重违法失信行为记录名单及其他不符合《中华人民共和国政府采购法》第二十二条规定条件的供应商，将被拒绝其参与政府采购活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23</w:t>
            </w:r>
          </w:p>
        </w:tc>
        <w:tc>
          <w:tcPr>
            <w:tcW w:w="1800"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金融支持</w:t>
            </w:r>
          </w:p>
        </w:tc>
        <w:tc>
          <w:tcPr>
            <w:tcW w:w="6682"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为支持和促进中小企业发展，进一步发挥政府采购政策功能，浙江省财政厅出台浙财采监〔2020〕3 号文件，企业若有融资意向，可登陆政采云平台融资服务（https://jinrong.zcygov.cn/），查看相应融资政策文件及各相关银行服务方案。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48" w:type="dxa"/>
            <w:vAlign w:val="center"/>
          </w:tcPr>
          <w:p>
            <w:pPr>
              <w:snapToGrid w:val="0"/>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24</w:t>
            </w:r>
          </w:p>
        </w:tc>
        <w:tc>
          <w:tcPr>
            <w:tcW w:w="1800" w:type="dxa"/>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其他</w:t>
            </w:r>
          </w:p>
        </w:tc>
        <w:tc>
          <w:tcPr>
            <w:tcW w:w="6682" w:type="dxa"/>
            <w:vAlign w:val="center"/>
          </w:tcPr>
          <w:p>
            <w:pPr>
              <w:ind w:firstLine="422" w:firstLineChars="200"/>
              <w:rPr>
                <w:rFonts w:ascii="宋体" w:hAnsi="宋体" w:cs="宋体"/>
                <w:b/>
                <w:color w:val="auto"/>
                <w:szCs w:val="21"/>
                <w:highlight w:val="none"/>
              </w:rPr>
            </w:pPr>
            <w:r>
              <w:rPr>
                <w:rFonts w:hint="eastAsia" w:ascii="宋体" w:hAnsi="宋体" w:cs="宋体"/>
                <w:b/>
                <w:color w:val="auto"/>
                <w:szCs w:val="21"/>
                <w:highlight w:val="none"/>
              </w:rPr>
              <w:t>本磋商文件要求提供的身份证复印件皆需提供正反面，否则按不提供处理。</w:t>
            </w:r>
          </w:p>
        </w:tc>
      </w:tr>
    </w:tbl>
    <w:p>
      <w:pPr>
        <w:pStyle w:val="3"/>
        <w:spacing w:line="360" w:lineRule="auto"/>
        <w:rPr>
          <w:rFonts w:ascii="宋体" w:hAnsi="宋体" w:cs="宋体"/>
          <w:color w:val="auto"/>
          <w:szCs w:val="21"/>
          <w:highlight w:val="none"/>
        </w:rPr>
        <w:sectPr>
          <w:pgSz w:w="11906" w:h="16838"/>
          <w:pgMar w:top="1417" w:right="1417" w:bottom="1417" w:left="1417" w:header="851" w:footer="992" w:gutter="0"/>
          <w:cols w:space="0" w:num="1"/>
          <w:rtlGutter w:val="0"/>
          <w:docGrid w:type="lines" w:linePitch="312" w:charSpace="0"/>
        </w:sectPr>
      </w:pPr>
      <w:r>
        <w:rPr>
          <w:rFonts w:hint="eastAsia" w:ascii="宋体" w:hAnsi="宋体" w:cs="宋体"/>
          <w:color w:val="auto"/>
          <w:sz w:val="24"/>
          <w:szCs w:val="24"/>
          <w:highlight w:val="none"/>
        </w:rPr>
        <w:t>注：以上内容如有变化将另行通知。如通知其中某一内容发生变化，其余未提及的将不作变动。</w:t>
      </w:r>
    </w:p>
    <w:p>
      <w:pPr>
        <w:pStyle w:val="2"/>
        <w:numPr>
          <w:ilvl w:val="0"/>
          <w:numId w:val="8"/>
        </w:numPr>
        <w:jc w:val="center"/>
        <w:rPr>
          <w:rFonts w:hAnsi="宋体" w:cs="宋体"/>
          <w:color w:val="auto"/>
          <w:highlight w:val="none"/>
        </w:rPr>
      </w:pPr>
      <w:bookmarkStart w:id="8" w:name="_Toc5549"/>
      <w:r>
        <w:rPr>
          <w:rFonts w:hint="eastAsia" w:hAnsi="宋体" w:cs="宋体"/>
          <w:color w:val="auto"/>
          <w:highlight w:val="none"/>
        </w:rPr>
        <w:t>总则</w:t>
      </w:r>
      <w:bookmarkEnd w:id="8"/>
    </w:p>
    <w:p>
      <w:pPr>
        <w:spacing w:line="360" w:lineRule="auto"/>
        <w:ind w:firstLine="480" w:firstLineChars="200"/>
        <w:rPr>
          <w:color w:val="auto"/>
          <w:highlight w:val="none"/>
        </w:rPr>
      </w:pPr>
      <w:r>
        <w:rPr>
          <w:rFonts w:hint="eastAsia"/>
          <w:color w:val="auto"/>
          <w:sz w:val="24"/>
          <w:szCs w:val="32"/>
          <w:highlight w:val="none"/>
        </w:rPr>
        <w:t>本次招标工作是按照《中华人民共和国政府采购法》、《中华人民共和国政府采购法实施条例》《政府采购竞争性磋商采购方式管理暂行办法》等相关法律、组织和实施，并由政府采购管理部门指导和监督。</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1、适用范围</w:t>
      </w:r>
    </w:p>
    <w:p>
      <w:pPr>
        <w:spacing w:line="360" w:lineRule="auto"/>
        <w:ind w:firstLine="480" w:firstLineChars="200"/>
        <w:rPr>
          <w:rFonts w:ascii="宋体" w:hAnsi="宋体" w:cs="宋体"/>
          <w:color w:val="auto"/>
          <w:sz w:val="24"/>
          <w:szCs w:val="32"/>
          <w:highlight w:val="none"/>
          <w:u w:val="single"/>
        </w:rPr>
      </w:pPr>
      <w:r>
        <w:rPr>
          <w:rFonts w:hint="eastAsia" w:ascii="宋体" w:hAnsi="宋体" w:cs="宋体"/>
          <w:color w:val="auto"/>
          <w:sz w:val="24"/>
          <w:szCs w:val="32"/>
          <w:highlight w:val="none"/>
        </w:rPr>
        <w:t>1.1本次磋商工作仅适用于</w:t>
      </w:r>
      <w:r>
        <w:rPr>
          <w:rFonts w:hint="eastAsia" w:ascii="宋体" w:hAnsi="宋体" w:cs="宋体"/>
          <w:color w:val="auto"/>
          <w:sz w:val="24"/>
          <w:highlight w:val="none"/>
          <w:u w:val="single"/>
          <w:lang w:val="en-US" w:eastAsia="zh-CN"/>
        </w:rPr>
        <w:t>绍兴市上虞区应急管理局避灾安置场所房屋安全鉴定检测采购项目</w:t>
      </w:r>
      <w:r>
        <w:rPr>
          <w:rFonts w:hint="eastAsia" w:ascii="宋体" w:hAnsi="宋体" w:cs="宋体"/>
          <w:color w:val="auto"/>
          <w:sz w:val="24"/>
          <w:szCs w:val="32"/>
          <w:highlight w:val="none"/>
          <w:u w:val="single"/>
        </w:rPr>
        <w:t>。</w:t>
      </w:r>
    </w:p>
    <w:p>
      <w:pPr>
        <w:pStyle w:val="22"/>
        <w:ind w:firstLine="480" w:firstLineChars="200"/>
        <w:rPr>
          <w:color w:val="auto"/>
          <w:highlight w:val="none"/>
        </w:rPr>
      </w:pPr>
      <w:r>
        <w:rPr>
          <w:rFonts w:hint="eastAsia" w:ascii="宋体" w:hAnsi="宋体" w:cs="宋体"/>
          <w:color w:val="auto"/>
          <w:sz w:val="24"/>
          <w:szCs w:val="32"/>
          <w:highlight w:val="none"/>
        </w:rPr>
        <w:t>1.2</w:t>
      </w:r>
      <w:r>
        <w:rPr>
          <w:rFonts w:hint="eastAsia" w:ascii="宋体" w:hAnsi="宋体" w:cs="宋体"/>
          <w:color w:val="auto"/>
          <w:sz w:val="24"/>
          <w:highlight w:val="none"/>
        </w:rPr>
        <w:t>本项目采购方式采用竞争性磋商方式。</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2、定义</w:t>
      </w:r>
    </w:p>
    <w:p>
      <w:pPr>
        <w:spacing w:line="360" w:lineRule="auto"/>
        <w:ind w:firstLine="480" w:firstLineChars="200"/>
        <w:rPr>
          <w:rFonts w:ascii="宋体" w:hAnsi="宋体" w:cs="宋体"/>
          <w:color w:val="auto"/>
          <w:sz w:val="24"/>
          <w:szCs w:val="32"/>
          <w:highlight w:val="none"/>
          <w:u w:val="single"/>
        </w:rPr>
      </w:pPr>
      <w:r>
        <w:rPr>
          <w:rFonts w:hint="eastAsia" w:ascii="宋体" w:hAnsi="宋体" w:cs="宋体"/>
          <w:color w:val="auto"/>
          <w:sz w:val="24"/>
          <w:szCs w:val="32"/>
          <w:highlight w:val="none"/>
        </w:rPr>
        <w:t>2.1“</w:t>
      </w:r>
      <w:r>
        <w:rPr>
          <w:rFonts w:hint="eastAsia" w:ascii="宋体" w:hAnsi="宋体" w:cs="宋体"/>
          <w:color w:val="auto"/>
          <w:sz w:val="24"/>
          <w:szCs w:val="32"/>
          <w:highlight w:val="none"/>
          <w:lang w:val="zh-CN"/>
        </w:rPr>
        <w:t>采购人”系指</w:t>
      </w:r>
      <w:r>
        <w:rPr>
          <w:rFonts w:hint="eastAsia" w:ascii="宋体" w:hAnsi="宋体" w:cs="宋体"/>
          <w:color w:val="auto"/>
          <w:sz w:val="24"/>
          <w:szCs w:val="32"/>
          <w:highlight w:val="none"/>
          <w:u w:val="single"/>
        </w:rPr>
        <w:t xml:space="preserve"> 绍兴市上虞区</w:t>
      </w:r>
      <w:r>
        <w:rPr>
          <w:rFonts w:hint="eastAsia" w:ascii="宋体" w:hAnsi="宋体" w:cs="宋体"/>
          <w:color w:val="auto"/>
          <w:sz w:val="24"/>
          <w:szCs w:val="32"/>
          <w:highlight w:val="none"/>
          <w:u w:val="single"/>
          <w:lang w:val="en-US" w:eastAsia="zh-CN"/>
        </w:rPr>
        <w:t>应急管理局</w:t>
      </w:r>
      <w:r>
        <w:rPr>
          <w:rFonts w:hint="eastAsia" w:ascii="宋体" w:hAnsi="宋体" w:cs="宋体"/>
          <w:color w:val="auto"/>
          <w:sz w:val="24"/>
          <w:szCs w:val="32"/>
          <w:highlight w:val="none"/>
          <w:u w:val="single"/>
        </w:rPr>
        <w:t xml:space="preserve"> </w:t>
      </w:r>
      <w:r>
        <w:rPr>
          <w:rFonts w:hint="eastAsia" w:ascii="宋体" w:hAnsi="宋体" w:cs="宋体"/>
          <w:color w:val="auto"/>
          <w:sz w:val="24"/>
          <w:szCs w:val="32"/>
          <w:highlight w:val="none"/>
        </w:rPr>
        <w:t>。</w:t>
      </w:r>
      <w:r>
        <w:rPr>
          <w:rFonts w:hint="eastAsia" w:ascii="宋体" w:hAnsi="宋体" w:cs="宋体"/>
          <w:color w:val="auto"/>
          <w:sz w:val="24"/>
          <w:highlight w:val="none"/>
        </w:rPr>
        <w:t>采购人委托</w:t>
      </w:r>
      <w:r>
        <w:rPr>
          <w:rFonts w:hint="eastAsia" w:ascii="宋体" w:hAnsi="宋体" w:cs="宋体"/>
          <w:color w:val="auto"/>
          <w:sz w:val="24"/>
          <w:highlight w:val="none"/>
          <w:u w:val="single"/>
        </w:rPr>
        <w:t xml:space="preserve"> 浙江</w:t>
      </w:r>
      <w:r>
        <w:rPr>
          <w:rFonts w:hint="eastAsia" w:ascii="宋体" w:hAnsi="宋体" w:cs="宋体"/>
          <w:color w:val="auto"/>
          <w:sz w:val="24"/>
          <w:highlight w:val="none"/>
          <w:u w:val="single"/>
          <w:lang w:val="en-US" w:eastAsia="zh-CN"/>
        </w:rPr>
        <w:t>智杰建设管理</w:t>
      </w:r>
      <w:r>
        <w:rPr>
          <w:rFonts w:hint="eastAsia" w:ascii="宋体" w:hAnsi="宋体" w:cs="宋体"/>
          <w:color w:val="auto"/>
          <w:sz w:val="24"/>
          <w:highlight w:val="none"/>
          <w:u w:val="single"/>
        </w:rPr>
        <w:t xml:space="preserve">有限公司 </w:t>
      </w:r>
      <w:r>
        <w:rPr>
          <w:rFonts w:hint="eastAsia" w:ascii="宋体" w:hAnsi="宋体" w:cs="宋体"/>
          <w:color w:val="auto"/>
          <w:sz w:val="24"/>
          <w:highlight w:val="none"/>
        </w:rPr>
        <w:t>为本项目采购代理机构。</w:t>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2.2“磋商供应商”系指</w:t>
      </w:r>
      <w:r>
        <w:rPr>
          <w:rFonts w:hint="eastAsia" w:ascii="宋体" w:hAnsi="宋体" w:cs="宋体"/>
          <w:color w:val="auto"/>
          <w:sz w:val="24"/>
          <w:highlight w:val="none"/>
        </w:rPr>
        <w:t>响应本次采购，参加本次竞争性磋商的供应商</w:t>
      </w:r>
      <w:r>
        <w:rPr>
          <w:rFonts w:hint="eastAsia" w:ascii="宋体" w:hAnsi="宋体" w:cs="宋体"/>
          <w:color w:val="auto"/>
          <w:sz w:val="24"/>
          <w:szCs w:val="32"/>
          <w:highlight w:val="none"/>
        </w:rPr>
        <w:t>。</w:t>
      </w:r>
    </w:p>
    <w:p>
      <w:pPr>
        <w:spacing w:line="360" w:lineRule="auto"/>
        <w:ind w:firstLine="480" w:firstLineChars="200"/>
        <w:rPr>
          <w:rFonts w:ascii="宋体" w:hAnsi="宋体" w:cs="宋体"/>
          <w:color w:val="auto"/>
          <w:sz w:val="24"/>
          <w:szCs w:val="32"/>
          <w:highlight w:val="none"/>
          <w:lang w:val="zh-CN"/>
        </w:rPr>
      </w:pPr>
      <w:r>
        <w:rPr>
          <w:rFonts w:hint="eastAsia" w:ascii="宋体" w:hAnsi="宋体" w:cs="宋体"/>
          <w:color w:val="auto"/>
          <w:sz w:val="24"/>
          <w:szCs w:val="32"/>
          <w:highlight w:val="none"/>
        </w:rPr>
        <w:t>2.3</w:t>
      </w:r>
      <w:r>
        <w:rPr>
          <w:rFonts w:hint="eastAsia" w:ascii="宋体" w:hAnsi="宋体" w:cs="宋体"/>
          <w:color w:val="auto"/>
          <w:sz w:val="24"/>
          <w:szCs w:val="32"/>
          <w:highlight w:val="none"/>
          <w:lang w:val="zh-CN"/>
        </w:rPr>
        <w:t>“服务”系指</w:t>
      </w:r>
      <w:r>
        <w:rPr>
          <w:rFonts w:hint="eastAsia" w:ascii="宋体" w:hAnsi="宋体" w:cs="宋体"/>
          <w:color w:val="auto"/>
          <w:sz w:val="24"/>
          <w:highlight w:val="none"/>
        </w:rPr>
        <w:t>磋商供应商按合同规定，须承担的服务的义务</w:t>
      </w:r>
      <w:r>
        <w:rPr>
          <w:rFonts w:hint="eastAsia" w:ascii="宋体" w:hAnsi="宋体" w:cs="宋体"/>
          <w:color w:val="auto"/>
          <w:sz w:val="24"/>
          <w:szCs w:val="32"/>
          <w:highlight w:val="none"/>
          <w:lang w:val="zh-CN"/>
        </w:rPr>
        <w:t>。</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3、采购项目概况</w:t>
      </w:r>
      <w:r>
        <w:rPr>
          <w:rFonts w:hint="eastAsia" w:ascii="宋体" w:hAnsi="宋体" w:cs="宋体"/>
          <w:b/>
          <w:bCs/>
          <w:color w:val="auto"/>
          <w:sz w:val="24"/>
          <w:szCs w:val="32"/>
          <w:highlight w:val="none"/>
        </w:rPr>
        <w:tab/>
      </w:r>
      <w:r>
        <w:rPr>
          <w:rFonts w:hint="eastAsia" w:ascii="宋体" w:hAnsi="宋体" w:cs="宋体"/>
          <w:b/>
          <w:bCs/>
          <w:color w:val="auto"/>
          <w:sz w:val="24"/>
          <w:szCs w:val="32"/>
          <w:highlight w:val="none"/>
        </w:rPr>
        <w:tab/>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详见竞争性磋商公告相关内容，主要要求参见本文件第</w:t>
      </w:r>
      <w:r>
        <w:rPr>
          <w:rFonts w:hint="eastAsia" w:ascii="宋体" w:hAnsi="宋体" w:cs="宋体"/>
          <w:color w:val="auto"/>
          <w:sz w:val="24"/>
          <w:szCs w:val="32"/>
          <w:highlight w:val="none"/>
          <w:u w:val="single"/>
        </w:rPr>
        <w:t xml:space="preserve"> 三 </w:t>
      </w:r>
      <w:r>
        <w:rPr>
          <w:rFonts w:hint="eastAsia" w:ascii="宋体" w:hAnsi="宋体" w:cs="宋体"/>
          <w:color w:val="auto"/>
          <w:sz w:val="24"/>
          <w:szCs w:val="32"/>
          <w:highlight w:val="none"/>
        </w:rPr>
        <w:t>部分。</w:t>
      </w:r>
    </w:p>
    <w:p>
      <w:pPr>
        <w:adjustRightInd w:val="0"/>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szCs w:val="32"/>
          <w:highlight w:val="none"/>
        </w:rPr>
        <w:t>4、</w:t>
      </w:r>
      <w:r>
        <w:rPr>
          <w:rFonts w:hint="eastAsia" w:ascii="宋体" w:hAnsi="宋体" w:cs="宋体"/>
          <w:b/>
          <w:bCs/>
          <w:color w:val="auto"/>
          <w:sz w:val="24"/>
          <w:highlight w:val="none"/>
        </w:rPr>
        <w:t>合格的磋商供应商</w:t>
      </w:r>
    </w:p>
    <w:p>
      <w:pPr>
        <w:spacing w:line="360" w:lineRule="auto"/>
        <w:ind w:firstLine="480" w:firstLineChars="200"/>
        <w:rPr>
          <w:rFonts w:ascii="宋体" w:hAnsi="宋体" w:cs="宋体"/>
          <w:color w:val="auto"/>
          <w:sz w:val="24"/>
          <w:szCs w:val="32"/>
          <w:highlight w:val="none"/>
        </w:rPr>
      </w:pPr>
      <w:bookmarkStart w:id="9" w:name="_Toc193523219"/>
      <w:bookmarkStart w:id="10" w:name="_Toc207946571"/>
      <w:bookmarkStart w:id="11" w:name="_Toc209435242"/>
      <w:bookmarkStart w:id="12" w:name="_Toc204683265"/>
      <w:bookmarkStart w:id="13" w:name="_Toc209520993"/>
      <w:bookmarkStart w:id="14" w:name="_Toc197657950"/>
      <w:bookmarkStart w:id="15" w:name="_Toc208287611"/>
      <w:bookmarkStart w:id="16" w:name="_Toc209504018"/>
      <w:bookmarkStart w:id="17" w:name="_Toc193538208"/>
      <w:bookmarkStart w:id="18" w:name="_Toc211412066"/>
      <w:bookmarkStart w:id="19" w:name="_Toc197053926"/>
      <w:bookmarkStart w:id="20" w:name="_Toc208913145"/>
      <w:bookmarkStart w:id="21" w:name="_Toc197163261"/>
      <w:bookmarkStart w:id="22" w:name="_Toc197156227"/>
      <w:r>
        <w:rPr>
          <w:rFonts w:hint="eastAsia" w:ascii="宋体" w:hAnsi="宋体" w:cs="宋体"/>
          <w:color w:val="auto"/>
          <w:sz w:val="24"/>
          <w:highlight w:val="none"/>
        </w:rPr>
        <w:t>详见竞争性磋商采购公告磋商供应商的资格要求规定。</w:t>
      </w:r>
      <w:bookmarkEnd w:id="9"/>
      <w:bookmarkEnd w:id="10"/>
      <w:bookmarkEnd w:id="11"/>
      <w:bookmarkEnd w:id="12"/>
      <w:bookmarkEnd w:id="13"/>
      <w:bookmarkEnd w:id="14"/>
      <w:bookmarkEnd w:id="15"/>
      <w:bookmarkEnd w:id="16"/>
      <w:bookmarkEnd w:id="17"/>
      <w:bookmarkEnd w:id="18"/>
      <w:bookmarkEnd w:id="19"/>
      <w:bookmarkEnd w:id="20"/>
      <w:bookmarkEnd w:id="21"/>
      <w:bookmarkEnd w:id="22"/>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5、磋商费用</w:t>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磋商供应商应承担其参加磋商所涉及的一切费用，不管结果如何，采购人对上述费用不负任何责任。</w:t>
      </w:r>
    </w:p>
    <w:p>
      <w:pPr>
        <w:pStyle w:val="2"/>
        <w:jc w:val="center"/>
        <w:rPr>
          <w:color w:val="auto"/>
          <w:highlight w:val="none"/>
        </w:rPr>
      </w:pPr>
      <w:bookmarkStart w:id="23" w:name="_Toc25923"/>
      <w:bookmarkStart w:id="24" w:name="_Toc32689"/>
      <w:bookmarkStart w:id="25" w:name="_Toc416992151"/>
    </w:p>
    <w:p>
      <w:pPr>
        <w:pStyle w:val="2"/>
        <w:jc w:val="center"/>
        <w:rPr>
          <w:color w:val="auto"/>
          <w:highlight w:val="none"/>
        </w:rPr>
      </w:pPr>
      <w:bookmarkStart w:id="26" w:name="_Toc4563"/>
      <w:r>
        <w:rPr>
          <w:rFonts w:hint="eastAsia"/>
          <w:color w:val="auto"/>
          <w:highlight w:val="none"/>
        </w:rPr>
        <w:t>二、竞争性磋商文件</w:t>
      </w:r>
      <w:bookmarkEnd w:id="23"/>
      <w:bookmarkEnd w:id="24"/>
      <w:bookmarkEnd w:id="25"/>
      <w:bookmarkEnd w:id="26"/>
    </w:p>
    <w:p>
      <w:pPr>
        <w:adjustRightIn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6、磋商文件的组成</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6.1本磋商文件包括目录所示内容及所有按本须知发出的补充资料（如果有）。</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6.2除上述所列内容外，采购人及采购代理机构的任何工作人员对磋商供应商所作的任何口头解释、介绍、答复，只能供磋商供应商参考，对采购人和磋商供应商无任何约束力。</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6.3磋商供应商应仔细阅读磋商文件的所有内容，按照文件要求提交响应文件，并保证所提交的全部资料的真实性。不按磋商文件的要求提供的响应文件和资料，可能导致磋商被拒绝。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6.4磋商文件是磋商过程进行的有效依据，也是成交后签订合同的依据，对双方均具有约束力，凡不遵守磋商文件规定或对磋商文件的实质性内容不响应的报价，将可能被拒绝或以无效标处理。本磋商文件由采购人或采购代理机构进行解释。</w:t>
      </w:r>
    </w:p>
    <w:p>
      <w:pPr>
        <w:adjustRightInd w:val="0"/>
        <w:spacing w:line="360" w:lineRule="auto"/>
        <w:ind w:firstLine="472" w:firstLineChars="196"/>
        <w:rPr>
          <w:rFonts w:ascii="宋体" w:hAnsi="宋体" w:cs="宋体"/>
          <w:b/>
          <w:color w:val="auto"/>
          <w:sz w:val="24"/>
          <w:highlight w:val="none"/>
        </w:rPr>
      </w:pPr>
      <w:r>
        <w:rPr>
          <w:rFonts w:hint="eastAsia" w:ascii="宋体" w:hAnsi="宋体" w:cs="宋体"/>
          <w:b/>
          <w:color w:val="auto"/>
          <w:sz w:val="24"/>
          <w:highlight w:val="none"/>
        </w:rPr>
        <w:t>7、磋商文件的澄清与修改</w:t>
      </w:r>
    </w:p>
    <w:p>
      <w:pPr>
        <w:adjustRightInd w:val="0"/>
        <w:spacing w:line="360" w:lineRule="auto"/>
        <w:ind w:firstLine="480" w:firstLineChars="200"/>
        <w:rPr>
          <w:rFonts w:hint="default" w:ascii="宋体" w:hAnsi="宋体" w:eastAsia="宋体" w:cs="宋体"/>
          <w:color w:val="auto"/>
          <w:sz w:val="24"/>
          <w:highlight w:val="none"/>
        </w:rPr>
      </w:pPr>
      <w:r>
        <w:rPr>
          <w:rFonts w:hint="eastAsia" w:ascii="宋体" w:hAnsi="宋体" w:eastAsia="宋体" w:cs="宋体"/>
          <w:color w:val="auto"/>
          <w:sz w:val="24"/>
          <w:highlight w:val="none"/>
        </w:rPr>
        <w:t>7.1磋商供应商在收到竞争性磋商文件后，若有问题需要澄清或认为有必要与采购人进行技术交流，应于前附表规定时间前，将问题按前附表要求发至指定邮箱里。（电子邮件只作方便工作之用，与书面文件有不一致的，以书面文件为准）。截止期后的疑问将不予受理、答复。</w:t>
      </w:r>
    </w:p>
    <w:p>
      <w:pPr>
        <w:adjustRightInd w:val="0"/>
        <w:spacing w:line="360" w:lineRule="auto"/>
        <w:ind w:firstLine="480" w:firstLineChars="200"/>
        <w:rPr>
          <w:rFonts w:hint="default" w:ascii="宋体" w:hAnsi="宋体" w:eastAsia="宋体" w:cs="宋体"/>
          <w:color w:val="auto"/>
          <w:sz w:val="24"/>
          <w:highlight w:val="none"/>
        </w:rPr>
      </w:pPr>
      <w:r>
        <w:rPr>
          <w:rFonts w:hint="eastAsia" w:ascii="宋体" w:hAnsi="宋体" w:eastAsia="宋体" w:cs="宋体"/>
          <w:color w:val="auto"/>
          <w:sz w:val="24"/>
          <w:highlight w:val="none"/>
        </w:rPr>
        <w:t>7.2磋商供应商要求解释或澄清的问题应以书面形式，并加盖公章、写明日期。</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7.3提交响应文件截止之日前，采购人、采购代理机构或者磋商小组可以对已发出的磋商文件进行必要的澄清或者修改，澄清或者修改的内容作为磋商文件的组成部分。</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7.4竞争性磋商文件的澄清修改文件及更正补充公告，请自行登录浙江政府采购网或绍兴市上虞区公共资源交易中心网站，在采购公告页面中下载。</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7.5澄清或者修改的内容可能影响响应文件编制的，采购人、采购代理机构将在提交响应文件截止时间至少5日前，以公告形式通知所有获取磋商文件的供应商；不足5日的，采购人、采购代理机构可能会顺延提交首次响应文件截止时间。澄清或者修改的内容未对原磋商文件作出重大修改或不会影响响应文件编制的，递交首次响应文件截止时间不变。</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7.6竞争性磋商文件澄清、答复、修改、补充的内容为竞争性磋商文件的组成部分。</w:t>
      </w:r>
    </w:p>
    <w:p>
      <w:pPr>
        <w:pStyle w:val="3"/>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7.7磋商文件发售截止日后，经采购人同意后购买磋商文件的磋商供应商不得对磋商文件和补充文件提出答疑或质疑。</w:t>
      </w:r>
    </w:p>
    <w:p>
      <w:pPr>
        <w:pStyle w:val="2"/>
        <w:jc w:val="center"/>
        <w:rPr>
          <w:color w:val="auto"/>
          <w:highlight w:val="none"/>
        </w:rPr>
      </w:pPr>
      <w:bookmarkStart w:id="27" w:name="_Toc1828"/>
      <w:bookmarkStart w:id="28" w:name="_Toc11669"/>
      <w:bookmarkStart w:id="29" w:name="_Toc391298957"/>
      <w:bookmarkStart w:id="30" w:name="_Toc26027"/>
      <w:bookmarkStart w:id="31" w:name="_Toc31748"/>
      <w:bookmarkStart w:id="32" w:name="_Toc14650"/>
      <w:bookmarkStart w:id="33" w:name="_Toc23135"/>
      <w:bookmarkStart w:id="34" w:name="_Toc6273"/>
      <w:bookmarkStart w:id="35" w:name="_Toc6079"/>
      <w:bookmarkStart w:id="36" w:name="_Toc26603"/>
      <w:bookmarkStart w:id="37" w:name="_Toc23975"/>
      <w:bookmarkStart w:id="38" w:name="_Toc8860"/>
      <w:bookmarkStart w:id="39" w:name="_Toc1729"/>
      <w:bookmarkStart w:id="40" w:name="_Toc11093"/>
      <w:bookmarkStart w:id="41" w:name="_Toc18702"/>
      <w:bookmarkStart w:id="42" w:name="_Toc11692"/>
      <w:bookmarkStart w:id="43" w:name="_Toc7126"/>
      <w:bookmarkStart w:id="44" w:name="_Toc6457"/>
      <w:bookmarkStart w:id="45" w:name="_Toc10810"/>
      <w:bookmarkStart w:id="46" w:name="_Toc10669"/>
      <w:bookmarkStart w:id="47" w:name="_Toc24622"/>
      <w:bookmarkStart w:id="48" w:name="_Toc1202"/>
    </w:p>
    <w:p>
      <w:pPr>
        <w:pStyle w:val="2"/>
        <w:jc w:val="center"/>
        <w:rPr>
          <w:color w:val="auto"/>
          <w:highlight w:val="none"/>
        </w:rPr>
      </w:pPr>
      <w:bookmarkStart w:id="49" w:name="_Toc24691"/>
      <w:r>
        <w:rPr>
          <w:rFonts w:hint="eastAsia"/>
          <w:color w:val="auto"/>
          <w:highlight w:val="none"/>
        </w:rPr>
        <w:t>三、竞争性磋商响应文件的编写</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8、要求</w:t>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8.1供应商应仔细阅读竞争性磋商文件的所有内容，按照竞争性磋商文件的要求提交竞争性磋商响应文件。竞争性磋商响应文件应对竞争性磋商文件的要求做出实质性响应，并保证所提供的全部资料的真实性，否则视其为虚假响应，其响应将被否决。</w:t>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8.2报价</w:t>
      </w:r>
    </w:p>
    <w:p>
      <w:pPr>
        <w:spacing w:line="360" w:lineRule="auto"/>
        <w:ind w:firstLine="480" w:firstLineChars="200"/>
        <w:rPr>
          <w:rFonts w:ascii="宋体" w:hAnsi="宋体" w:cs="宋体"/>
          <w:b/>
          <w:bCs/>
          <w:color w:val="auto"/>
          <w:sz w:val="24"/>
          <w:szCs w:val="32"/>
          <w:highlight w:val="none"/>
          <w:shd w:val="clear" w:color="FFFFFF" w:fill="D9D9D9"/>
        </w:rPr>
      </w:pPr>
      <w:r>
        <w:rPr>
          <w:rFonts w:hint="eastAsia" w:ascii="宋体" w:hAnsi="宋体" w:cs="宋体"/>
          <w:color w:val="auto"/>
          <w:sz w:val="24"/>
          <w:szCs w:val="32"/>
          <w:highlight w:val="none"/>
        </w:rPr>
        <w:t>8.2.1本次报价非一次性报价，报价币种为人民币。在磋商后根据磋商情况（包括细化采购方案和要求，增补部分采购内容等），供应商须二次报价（最终报价）</w:t>
      </w:r>
      <w:r>
        <w:rPr>
          <w:rFonts w:hint="eastAsia" w:ascii="宋体" w:hAnsi="宋体" w:cs="宋体"/>
          <w:b/>
          <w:bCs/>
          <w:color w:val="auto"/>
          <w:sz w:val="24"/>
          <w:szCs w:val="32"/>
          <w:highlight w:val="none"/>
        </w:rPr>
        <w:t>。如果供应商在规定时间30分钟内未提交第二次报价，视该供应商放弃本次投标，作无效标处理。</w:t>
      </w:r>
    </w:p>
    <w:p>
      <w:pPr>
        <w:pStyle w:val="31"/>
        <w:tabs>
          <w:tab w:val="left" w:pos="0"/>
        </w:tabs>
        <w:spacing w:before="0"/>
        <w:ind w:firstLine="480"/>
        <w:rPr>
          <w:rFonts w:ascii="宋体" w:hAnsi="宋体" w:cs="宋体"/>
          <w:b/>
          <w:bCs/>
          <w:color w:val="auto"/>
          <w:szCs w:val="32"/>
          <w:highlight w:val="none"/>
        </w:rPr>
      </w:pPr>
      <w:r>
        <w:rPr>
          <w:rFonts w:hint="eastAsia" w:ascii="宋体" w:hAnsi="宋体" w:cs="宋体"/>
          <w:color w:val="auto"/>
          <w:szCs w:val="32"/>
          <w:highlight w:val="none"/>
        </w:rPr>
        <w:t>8.2.2</w:t>
      </w:r>
      <w:r>
        <w:rPr>
          <w:rFonts w:hint="eastAsia" w:ascii="宋体" w:hAnsi="宋体" w:cs="宋体"/>
          <w:color w:val="auto"/>
          <w:szCs w:val="32"/>
          <w:highlight w:val="none"/>
          <w:u w:val="single"/>
        </w:rPr>
        <w:t>本次报价应包含项目所需全部服务，不得缺漏，是履行合同的最终价格（包括本项目所需方案编制费，向政府及行业部门交纳各种税费及规费，以及本项目过程中的论证会、专家评审会、方案对接会等会议所需的所有相关费用。）。</w:t>
      </w:r>
      <w:r>
        <w:rPr>
          <w:rFonts w:hint="eastAsia"/>
          <w:color w:val="auto"/>
          <w:szCs w:val="32"/>
          <w:highlight w:val="none"/>
        </w:rPr>
        <w:t>投标报价为供应商所能承受的最低、最终报价，供应商不得再要求追加任何费用。</w:t>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投标报价固定是指供应商所填写的投标报价在合同实施期间不因市场因素而变动，供应商在计算报价时可考虑一定的风险系数（由供应商自行考虑）。</w:t>
      </w:r>
    </w:p>
    <w:p>
      <w:pPr>
        <w:spacing w:line="360" w:lineRule="auto"/>
        <w:ind w:firstLine="480" w:firstLineChars="200"/>
        <w:rPr>
          <w:rFonts w:ascii="宋体" w:hAnsi="宋体" w:cs="宋体"/>
          <w:color w:val="auto"/>
          <w:highlight w:val="none"/>
        </w:rPr>
      </w:pPr>
      <w:r>
        <w:rPr>
          <w:rFonts w:hint="eastAsia" w:ascii="宋体" w:hAnsi="宋体" w:cs="宋体"/>
          <w:color w:val="auto"/>
          <w:sz w:val="24"/>
          <w:szCs w:val="32"/>
          <w:highlight w:val="none"/>
        </w:rPr>
        <w:t>8.2.3供应商的报价作为供应商计算单价或总价的依据，应是完成技术文件中的所有要求，不得以任何理由予以重复，供应商对报价若有说明应在报价一览表备注处注明。任何有选择的报价方案及价格将不予接受。</w:t>
      </w:r>
    </w:p>
    <w:p>
      <w:pPr>
        <w:pStyle w:val="14"/>
        <w:spacing w:line="360" w:lineRule="auto"/>
        <w:ind w:firstLine="482" w:firstLineChars="200"/>
        <w:rPr>
          <w:rFonts w:hAnsi="宋体" w:cs="宋体"/>
          <w:b/>
          <w:color w:val="auto"/>
          <w:sz w:val="24"/>
          <w:szCs w:val="24"/>
          <w:highlight w:val="none"/>
          <w:u w:val="single"/>
        </w:rPr>
      </w:pPr>
      <w:r>
        <w:rPr>
          <w:rFonts w:hint="eastAsia" w:hAnsi="宋体" w:cs="宋体"/>
          <w:b/>
          <w:color w:val="auto"/>
          <w:sz w:val="24"/>
          <w:szCs w:val="24"/>
          <w:highlight w:val="none"/>
        </w:rPr>
        <w:t>9、响应文件的组成</w:t>
      </w:r>
      <w:r>
        <w:rPr>
          <w:rFonts w:hint="eastAsia" w:hAnsi="宋体" w:cs="宋体"/>
          <w:b/>
          <w:color w:val="auto"/>
          <w:sz w:val="24"/>
          <w:szCs w:val="24"/>
          <w:highlight w:val="none"/>
          <w:u w:val="single"/>
        </w:rPr>
        <w:t>（供应商应根据采购文件的要求提供相应的内容且设置关联定位，供应商可查看《供应商-政府采购项目电子交易操作指南》进行操作：https://help.zcygov.cn/web/site_2/2018/12-28/2573.html）</w:t>
      </w:r>
    </w:p>
    <w:p>
      <w:pPr>
        <w:pStyle w:val="31"/>
        <w:tabs>
          <w:tab w:val="left" w:pos="0"/>
        </w:tabs>
        <w:spacing w:before="0"/>
        <w:ind w:firstLine="480"/>
        <w:rPr>
          <w:rFonts w:ascii="宋体" w:hAnsi="宋体" w:cs="宋体"/>
          <w:color w:val="auto"/>
          <w:szCs w:val="24"/>
          <w:highlight w:val="none"/>
        </w:rPr>
      </w:pPr>
      <w:r>
        <w:rPr>
          <w:rFonts w:hint="eastAsia" w:ascii="宋体" w:hAnsi="宋体" w:cs="宋体"/>
          <w:color w:val="auto"/>
          <w:szCs w:val="24"/>
          <w:highlight w:val="none"/>
        </w:rPr>
        <w:t>响应文件应当包括以下主要内容：资格文件、商务技术文件、报价文件。</w:t>
      </w:r>
    </w:p>
    <w:p>
      <w:pPr>
        <w:pStyle w:val="31"/>
        <w:numPr>
          <w:ilvl w:val="0"/>
          <w:numId w:val="9"/>
        </w:numPr>
        <w:spacing w:before="0"/>
        <w:ind w:firstLine="480"/>
        <w:rPr>
          <w:rFonts w:ascii="宋体" w:hAnsi="宋体" w:cs="宋体"/>
          <w:color w:val="auto"/>
          <w:szCs w:val="24"/>
          <w:highlight w:val="none"/>
        </w:rPr>
      </w:pPr>
      <w:r>
        <w:rPr>
          <w:rFonts w:hint="eastAsia" w:ascii="宋体" w:hAnsi="宋体" w:cs="宋体"/>
          <w:color w:val="auto"/>
          <w:szCs w:val="24"/>
          <w:highlight w:val="none"/>
        </w:rPr>
        <w:t>资格文件包括以下内容：</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法定代表人授权书（格式见附件）；如法定代表人直接参加投标并对相应文件签字的（签字是指线下签字扫描后上传或者线上进行电子签章），只需提供其身份证复印件，否则应提供授权代表身份证复印件；</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声明书；（格式见附件）</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highlight w:val="none"/>
        </w:rPr>
        <w:t>营业执照(或事业法人登记证或其他工商等登记证明材料)复印件、税务登记证(或其它缴纳证明材料)复印件、社保登记证（或其它缴纳证明材料）复印件；实施“五证合一、一照一码”登记制度改革的，只需提供改革后取得的营业执照复印件；事业单位的，则提供有效的《事业单位法人证书》副本复印件并加盖单位公章；</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响应文件中提供相关材料），证明其具备实际承担责任的能力和法定的缔结合同能力，可以独立参加政府采购活动，由单位负责人签署相关文件材料；</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前一年度资产负债表等财务报表资料文件；(新成立的公司，必须提供情况说明)</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具有履行合同所必需的产品和专业技术能力的承诺函；</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提供有效的依法缴纳税收证明（完税凭证或税务部门出具的证明）和提供有效的依法缴纳社会保障资金证明（缴纳凭证或人社部门出具的证明）；</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szCs w:val="24"/>
          <w:highlight w:val="none"/>
        </w:rPr>
        <w:t>参加政府采购活动前三年内，在经营活动中没有重大违法记录的声明；</w:t>
      </w:r>
    </w:p>
    <w:p>
      <w:pPr>
        <w:pStyle w:val="31"/>
        <w:numPr>
          <w:ilvl w:val="0"/>
          <w:numId w:val="10"/>
        </w:numPr>
        <w:spacing w:before="0"/>
        <w:ind w:firstLine="480"/>
        <w:rPr>
          <w:rFonts w:ascii="宋体" w:hAnsi="宋体" w:cs="宋体"/>
          <w:color w:val="auto"/>
          <w:szCs w:val="24"/>
          <w:highlight w:val="none"/>
        </w:rPr>
      </w:pPr>
      <w:r>
        <w:rPr>
          <w:rFonts w:hint="eastAsia" w:ascii="宋体" w:hAnsi="宋体"/>
          <w:color w:val="auto"/>
          <w:sz w:val="24"/>
          <w:szCs w:val="24"/>
          <w:highlight w:val="none"/>
        </w:rPr>
        <w:t>省级及以上建设行政主管部门核发的建设工程建筑材料见证取样检测、建设工程结构检测、建设工程钢结构检测及建设工程地基基础检测资质</w:t>
      </w:r>
      <w:r>
        <w:rPr>
          <w:rFonts w:hint="eastAsia" w:ascii="宋体" w:hAnsi="宋体"/>
          <w:color w:val="auto"/>
          <w:sz w:val="24"/>
          <w:szCs w:val="24"/>
          <w:highlight w:val="none"/>
          <w:lang w:eastAsia="zh-CN"/>
        </w:rPr>
        <w:t>证书</w:t>
      </w:r>
      <w:r>
        <w:rPr>
          <w:rFonts w:hint="eastAsia" w:ascii="宋体" w:hAnsi="宋体"/>
          <w:color w:val="auto"/>
          <w:sz w:val="24"/>
          <w:szCs w:val="24"/>
          <w:highlight w:val="none"/>
          <w:lang w:val="en-US" w:eastAsia="zh-CN"/>
        </w:rPr>
        <w:t>复印件并</w:t>
      </w:r>
      <w:r>
        <w:rPr>
          <w:rFonts w:hint="eastAsia" w:ascii="宋体" w:hAnsi="宋体"/>
          <w:color w:val="auto"/>
          <w:sz w:val="24"/>
          <w:szCs w:val="24"/>
          <w:highlight w:val="none"/>
        </w:rPr>
        <w:t>加盖单位公章</w:t>
      </w:r>
      <w:r>
        <w:rPr>
          <w:rFonts w:hint="eastAsia" w:ascii="宋体" w:hAnsi="宋体"/>
          <w:color w:val="auto"/>
          <w:sz w:val="24"/>
          <w:szCs w:val="24"/>
          <w:highlight w:val="none"/>
          <w:lang w:eastAsia="zh-CN"/>
        </w:rPr>
        <w:t>；</w:t>
      </w:r>
    </w:p>
    <w:p>
      <w:pPr>
        <w:pStyle w:val="31"/>
        <w:numPr>
          <w:ilvl w:val="0"/>
          <w:numId w:val="10"/>
        </w:numPr>
        <w:spacing w:before="0"/>
        <w:ind w:firstLine="480"/>
        <w:rPr>
          <w:rFonts w:ascii="宋体" w:hAnsi="宋体" w:cs="宋体"/>
          <w:color w:val="auto"/>
          <w:szCs w:val="24"/>
          <w:highlight w:val="none"/>
        </w:rPr>
      </w:pPr>
      <w:r>
        <w:rPr>
          <w:rFonts w:hint="eastAsia" w:ascii="宋体" w:hAnsi="宋体" w:cs="宋体"/>
          <w:color w:val="auto"/>
          <w:kern w:val="1"/>
          <w:sz w:val="24"/>
          <w:highlight w:val="none"/>
        </w:rPr>
        <w:t>省级及以上质量技术监督局计量认证证书</w:t>
      </w:r>
      <w:r>
        <w:rPr>
          <w:rFonts w:hint="eastAsia" w:ascii="宋体" w:hAnsi="宋体" w:cs="宋体"/>
          <w:color w:val="auto"/>
          <w:kern w:val="1"/>
          <w:sz w:val="24"/>
          <w:highlight w:val="none"/>
          <w:lang w:eastAsia="zh-CN"/>
        </w:rPr>
        <w:t>（</w:t>
      </w:r>
      <w:r>
        <w:rPr>
          <w:rFonts w:hint="eastAsia" w:ascii="宋体" w:hAnsi="宋体" w:cs="宋体"/>
          <w:color w:val="auto"/>
          <w:kern w:val="1"/>
          <w:sz w:val="24"/>
          <w:highlight w:val="none"/>
          <w:lang w:val="en-US" w:eastAsia="zh-CN"/>
        </w:rPr>
        <w:t>CMA）和省级及以上高级人民法院建设工程质量司法鉴定机构入册单位相关证书复印件并加盖单位公章。</w:t>
      </w:r>
    </w:p>
    <w:p>
      <w:pPr>
        <w:pStyle w:val="31"/>
        <w:numPr>
          <w:ilvl w:val="0"/>
          <w:numId w:val="9"/>
        </w:numPr>
        <w:spacing w:before="0"/>
        <w:ind w:firstLine="480"/>
        <w:rPr>
          <w:rFonts w:ascii="宋体" w:hAnsi="宋体" w:cs="宋体"/>
          <w:color w:val="auto"/>
          <w:szCs w:val="24"/>
          <w:highlight w:val="none"/>
        </w:rPr>
      </w:pPr>
      <w:r>
        <w:rPr>
          <w:rFonts w:hint="eastAsia" w:ascii="宋体" w:hAnsi="宋体" w:cs="宋体"/>
          <w:color w:val="auto"/>
          <w:szCs w:val="24"/>
          <w:highlight w:val="none"/>
        </w:rPr>
        <w:t>商务技术文件，本次磋商需要供应商提供以下项所列的技术文件：</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rPr>
        <w:t>评分对应表（格式见附件，主要用于评委对应评分内容）</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rPr>
        <w:t>供应商商务技术文件中资信分自评表（格式见附件）；</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rPr>
        <w:t>磋商项目明细清单（格式见附件）；</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rPr>
        <w:t>技术响应及建议表（格式见附件）；</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rPr>
        <w:t>商务响应表（格式见附件）；</w:t>
      </w:r>
    </w:p>
    <w:p>
      <w:pPr>
        <w:pStyle w:val="31"/>
        <w:numPr>
          <w:ilvl w:val="0"/>
          <w:numId w:val="11"/>
        </w:numPr>
        <w:spacing w:before="0"/>
        <w:ind w:firstLine="480"/>
        <w:rPr>
          <w:rFonts w:ascii="宋体" w:hAnsi="宋体" w:cs="宋体"/>
          <w:color w:val="auto"/>
          <w:szCs w:val="24"/>
          <w:highlight w:val="none"/>
        </w:rPr>
      </w:pPr>
      <w:r>
        <w:rPr>
          <w:rFonts w:hint="eastAsia" w:ascii="宋体" w:hAnsi="宋体"/>
          <w:bCs/>
          <w:iCs/>
          <w:color w:val="auto"/>
          <w:highlight w:val="none"/>
          <w:lang w:val="en-US" w:eastAsia="zh-CN"/>
        </w:rPr>
        <w:t>项目理解</w:t>
      </w:r>
      <w:r>
        <w:rPr>
          <w:rFonts w:hint="eastAsia" w:ascii="宋体" w:hAnsi="宋体" w:cs="宋体"/>
          <w:color w:val="auto"/>
          <w:szCs w:val="24"/>
          <w:highlight w:val="none"/>
        </w:rPr>
        <w:t>；</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lang w:val="en-US" w:eastAsia="zh-CN"/>
        </w:rPr>
        <w:t>关键技术重点、难点及解决方案</w:t>
      </w:r>
      <w:r>
        <w:rPr>
          <w:rFonts w:hint="eastAsia" w:ascii="宋体" w:hAnsi="宋体" w:cs="宋体"/>
          <w:color w:val="auto"/>
          <w:szCs w:val="24"/>
          <w:highlight w:val="none"/>
        </w:rPr>
        <w:t>；</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highlight w:val="none"/>
          <w:lang w:val="en-US" w:eastAsia="zh-CN"/>
        </w:rPr>
        <w:t>实施方案、服务质量、保证措施</w:t>
      </w:r>
      <w:r>
        <w:rPr>
          <w:rFonts w:hint="eastAsia" w:ascii="宋体" w:hAnsi="宋体" w:cs="宋体"/>
          <w:color w:val="auto"/>
          <w:szCs w:val="24"/>
          <w:highlight w:val="none"/>
        </w:rPr>
        <w:t>；</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szCs w:val="24"/>
          <w:highlight w:val="none"/>
          <w:lang w:val="en-US" w:eastAsia="zh-CN"/>
        </w:rPr>
        <w:t>团队技术力量</w:t>
      </w:r>
      <w:r>
        <w:rPr>
          <w:rFonts w:hint="eastAsia" w:ascii="宋体" w:hAnsi="宋体" w:cs="宋体"/>
          <w:color w:val="auto"/>
          <w:szCs w:val="24"/>
          <w:highlight w:val="none"/>
        </w:rPr>
        <w:t>；</w:t>
      </w:r>
    </w:p>
    <w:p>
      <w:pPr>
        <w:pStyle w:val="31"/>
        <w:numPr>
          <w:ilvl w:val="0"/>
          <w:numId w:val="11"/>
        </w:numPr>
        <w:spacing w:before="0"/>
        <w:ind w:firstLine="480"/>
        <w:rPr>
          <w:rFonts w:ascii="宋体" w:hAnsi="宋体" w:cs="宋体"/>
          <w:color w:val="auto"/>
          <w:szCs w:val="24"/>
          <w:highlight w:val="none"/>
        </w:rPr>
      </w:pPr>
      <w:r>
        <w:rPr>
          <w:rFonts w:hint="eastAsia" w:ascii="宋体" w:hAnsi="宋体" w:cs="宋体"/>
          <w:color w:val="auto"/>
          <w:highlight w:val="none"/>
          <w:lang w:val="en-US" w:eastAsia="zh-CN"/>
        </w:rPr>
        <w:t>设备配备</w:t>
      </w:r>
      <w:r>
        <w:rPr>
          <w:rFonts w:hint="eastAsia" w:ascii="宋体" w:hAnsi="宋体" w:cs="宋体"/>
          <w:color w:val="auto"/>
          <w:highlight w:val="none"/>
        </w:rPr>
        <w:t>；</w:t>
      </w:r>
    </w:p>
    <w:p>
      <w:pPr>
        <w:pStyle w:val="31"/>
        <w:numPr>
          <w:ilvl w:val="0"/>
          <w:numId w:val="11"/>
        </w:numPr>
        <w:spacing w:before="0"/>
        <w:ind w:firstLine="480"/>
        <w:rPr>
          <w:rFonts w:hint="eastAsia" w:ascii="宋体" w:hAnsi="宋体" w:eastAsia="宋体"/>
          <w:bCs/>
          <w:iCs/>
          <w:color w:val="auto"/>
          <w:highlight w:val="none"/>
          <w:lang w:val="en-US" w:eastAsia="zh-CN"/>
        </w:rPr>
      </w:pPr>
      <w:r>
        <w:rPr>
          <w:rFonts w:hint="eastAsia" w:ascii="宋体" w:hAnsi="宋体"/>
          <w:bCs/>
          <w:iCs/>
          <w:color w:val="auto"/>
          <w:highlight w:val="none"/>
          <w:lang w:val="en-US" w:eastAsia="zh-CN"/>
        </w:rPr>
        <w:t>本地化服务</w:t>
      </w:r>
      <w:r>
        <w:rPr>
          <w:rFonts w:hint="eastAsia" w:ascii="宋体" w:hAnsi="宋体" w:eastAsia="宋体"/>
          <w:bCs/>
          <w:iCs/>
          <w:color w:val="auto"/>
          <w:highlight w:val="none"/>
          <w:lang w:val="en-US" w:eastAsia="zh-CN"/>
        </w:rPr>
        <w:t>；</w:t>
      </w:r>
    </w:p>
    <w:p>
      <w:pPr>
        <w:pStyle w:val="31"/>
        <w:numPr>
          <w:ilvl w:val="0"/>
          <w:numId w:val="11"/>
        </w:numPr>
        <w:spacing w:before="0"/>
        <w:ind w:firstLine="480"/>
        <w:rPr>
          <w:rFonts w:hint="eastAsia" w:ascii="宋体" w:hAnsi="宋体" w:eastAsia="宋体"/>
          <w:bCs/>
          <w:iCs/>
          <w:color w:val="auto"/>
          <w:highlight w:val="none"/>
          <w:lang w:val="en-US" w:eastAsia="zh-CN"/>
        </w:rPr>
      </w:pPr>
      <w:r>
        <w:rPr>
          <w:rFonts w:hint="eastAsia" w:ascii="宋体" w:hAnsi="宋体"/>
          <w:bCs/>
          <w:iCs/>
          <w:color w:val="auto"/>
          <w:highlight w:val="none"/>
          <w:lang w:val="en-US" w:eastAsia="zh-CN"/>
        </w:rPr>
        <w:t>投标文件质量；</w:t>
      </w:r>
    </w:p>
    <w:p>
      <w:pPr>
        <w:pStyle w:val="31"/>
        <w:numPr>
          <w:ilvl w:val="0"/>
          <w:numId w:val="11"/>
        </w:numPr>
        <w:spacing w:before="0"/>
        <w:ind w:firstLine="480"/>
        <w:rPr>
          <w:rFonts w:hint="eastAsia" w:ascii="宋体" w:hAnsi="宋体" w:eastAsia="宋体"/>
          <w:bCs/>
          <w:iCs/>
          <w:color w:val="auto"/>
          <w:highlight w:val="none"/>
          <w:lang w:val="en-US" w:eastAsia="zh-CN"/>
        </w:rPr>
      </w:pPr>
      <w:r>
        <w:rPr>
          <w:rFonts w:hint="eastAsia" w:ascii="宋体" w:hAnsi="宋体"/>
          <w:bCs/>
          <w:iCs/>
          <w:color w:val="auto"/>
          <w:highlight w:val="none"/>
          <w:lang w:val="en-US" w:eastAsia="zh-CN"/>
        </w:rPr>
        <w:t>企业业绩；</w:t>
      </w:r>
    </w:p>
    <w:p>
      <w:pPr>
        <w:pStyle w:val="31"/>
        <w:numPr>
          <w:ilvl w:val="0"/>
          <w:numId w:val="11"/>
        </w:numPr>
        <w:spacing w:before="0"/>
        <w:ind w:firstLine="480"/>
        <w:rPr>
          <w:rFonts w:hint="eastAsia" w:ascii="宋体" w:hAnsi="宋体" w:eastAsia="宋体"/>
          <w:bCs/>
          <w:iCs/>
          <w:color w:val="auto"/>
          <w:highlight w:val="none"/>
          <w:lang w:val="en-US" w:eastAsia="zh-CN"/>
        </w:rPr>
      </w:pPr>
      <w:r>
        <w:rPr>
          <w:rFonts w:hint="eastAsia" w:ascii="宋体" w:hAnsi="宋体"/>
          <w:bCs/>
          <w:iCs/>
          <w:color w:val="auto"/>
          <w:highlight w:val="none"/>
          <w:lang w:val="en-US" w:eastAsia="zh-CN"/>
        </w:rPr>
        <w:t>企业科研力量；</w:t>
      </w:r>
    </w:p>
    <w:p>
      <w:pPr>
        <w:pStyle w:val="31"/>
        <w:numPr>
          <w:ilvl w:val="0"/>
          <w:numId w:val="11"/>
        </w:numPr>
        <w:spacing w:before="0"/>
        <w:ind w:firstLine="480"/>
        <w:rPr>
          <w:rFonts w:hint="eastAsia" w:ascii="宋体" w:hAnsi="宋体" w:eastAsia="宋体"/>
          <w:bCs/>
          <w:iCs/>
          <w:color w:val="auto"/>
          <w:highlight w:val="none"/>
          <w:lang w:val="en-US" w:eastAsia="zh-CN"/>
        </w:rPr>
      </w:pPr>
      <w:r>
        <w:rPr>
          <w:rFonts w:hint="eastAsia" w:ascii="宋体" w:hAnsi="宋体"/>
          <w:bCs/>
          <w:iCs/>
          <w:color w:val="auto"/>
          <w:highlight w:val="none"/>
          <w:lang w:val="en-US" w:eastAsia="zh-CN"/>
        </w:rPr>
        <w:t>企业资信；</w:t>
      </w:r>
    </w:p>
    <w:p>
      <w:pPr>
        <w:pStyle w:val="31"/>
        <w:numPr>
          <w:ilvl w:val="0"/>
          <w:numId w:val="11"/>
        </w:numPr>
        <w:spacing w:before="0"/>
        <w:ind w:firstLine="480"/>
        <w:rPr>
          <w:rFonts w:hint="eastAsia" w:ascii="宋体" w:hAnsi="宋体" w:eastAsia="宋体"/>
          <w:bCs/>
          <w:iCs/>
          <w:color w:val="auto"/>
          <w:highlight w:val="none"/>
          <w:lang w:val="en-US" w:eastAsia="zh-CN"/>
        </w:rPr>
      </w:pPr>
      <w:r>
        <w:rPr>
          <w:rFonts w:hint="eastAsia" w:ascii="宋体" w:hAnsi="宋体" w:eastAsia="宋体"/>
          <w:bCs/>
          <w:iCs/>
          <w:color w:val="auto"/>
          <w:highlight w:val="none"/>
          <w:lang w:val="en-US" w:eastAsia="zh-CN"/>
        </w:rPr>
        <w:t>供应商认为需要的其他文件资料。</w:t>
      </w:r>
    </w:p>
    <w:p>
      <w:pPr>
        <w:pStyle w:val="31"/>
        <w:tabs>
          <w:tab w:val="left" w:pos="0"/>
        </w:tabs>
        <w:spacing w:before="0"/>
        <w:ind w:firstLine="480"/>
        <w:rPr>
          <w:rFonts w:ascii="宋体" w:hAnsi="宋体" w:cs="宋体"/>
          <w:color w:val="auto"/>
          <w:szCs w:val="24"/>
          <w:highlight w:val="none"/>
        </w:rPr>
      </w:pPr>
      <w:r>
        <w:rPr>
          <w:rFonts w:hint="eastAsia" w:ascii="宋体" w:hAnsi="宋体" w:cs="宋体"/>
          <w:color w:val="auto"/>
          <w:szCs w:val="24"/>
          <w:highlight w:val="none"/>
        </w:rPr>
        <w:t>注：以上内容应与评标办法中内容具有一致性。</w:t>
      </w:r>
    </w:p>
    <w:p>
      <w:pPr>
        <w:pStyle w:val="31"/>
        <w:tabs>
          <w:tab w:val="left" w:pos="0"/>
        </w:tabs>
        <w:spacing w:before="0"/>
        <w:ind w:firstLine="480"/>
        <w:rPr>
          <w:rFonts w:ascii="宋体" w:hAnsi="宋体" w:cs="宋体"/>
          <w:color w:val="auto"/>
          <w:szCs w:val="24"/>
          <w:highlight w:val="none"/>
        </w:rPr>
      </w:pPr>
      <w:r>
        <w:rPr>
          <w:rFonts w:hint="eastAsia" w:ascii="宋体" w:hAnsi="宋体" w:cs="宋体"/>
          <w:color w:val="auto"/>
          <w:szCs w:val="24"/>
          <w:highlight w:val="none"/>
        </w:rPr>
        <w:t>如果本项目涉及软件采购，还需提供相关完整配置方案（软件名称、品牌、规格型号、数量、主要技术参数等），提供主要磋商产品的技术参数证明材料（如官网截图、产品彩页、技术说明等），明确表示该项指标所涉及的软件是标准配置还是选择配置。</w:t>
      </w:r>
    </w:p>
    <w:p>
      <w:pPr>
        <w:pStyle w:val="31"/>
        <w:tabs>
          <w:tab w:val="left" w:pos="0"/>
        </w:tabs>
        <w:spacing w:before="0"/>
        <w:ind w:firstLine="480"/>
        <w:rPr>
          <w:rFonts w:ascii="宋体" w:hAnsi="宋体" w:cs="宋体"/>
          <w:color w:val="auto"/>
          <w:szCs w:val="24"/>
          <w:highlight w:val="none"/>
        </w:rPr>
      </w:pPr>
      <w:r>
        <w:rPr>
          <w:rFonts w:hint="eastAsia" w:ascii="宋体" w:hAnsi="宋体" w:cs="宋体"/>
          <w:color w:val="auto"/>
          <w:szCs w:val="24"/>
          <w:highlight w:val="none"/>
        </w:rPr>
        <w:t>供应商在响应文件中应对项目技术规范和服务要求中所提出各项要求进行答复、说明和解释。如果供应商在技术偏离表中注明无偏离，评标结束后、签订采购合同前又认为其实际产品与响应技术需求不一致的，视为供应商在磋商响应文件有效期内对其响应文件进行了实质性修改，其磋商将被追认为无效磋商。</w:t>
      </w:r>
      <w:r>
        <w:rPr>
          <w:rFonts w:hint="eastAsia" w:ascii="宋体" w:hAnsi="宋体" w:cs="宋体"/>
          <w:b/>
          <w:bCs/>
          <w:color w:val="auto"/>
          <w:szCs w:val="24"/>
          <w:highlight w:val="none"/>
        </w:rPr>
        <w:t>采购代理机构将把这一情况报送采购监管部门。实质性指标、关键性指标和重要指标需提供证明材料，如技术偏离表中仅复制粘贴而未说明或提供证明材料的，其产生的影响直至被认定为未实质性响应的后果将由供应商自行承担。</w:t>
      </w:r>
    </w:p>
    <w:p>
      <w:pPr>
        <w:pStyle w:val="31"/>
        <w:numPr>
          <w:ilvl w:val="0"/>
          <w:numId w:val="9"/>
        </w:numPr>
        <w:spacing w:before="0"/>
        <w:ind w:firstLine="480"/>
        <w:rPr>
          <w:rFonts w:ascii="宋体" w:hAnsi="宋体" w:cs="宋体"/>
          <w:color w:val="auto"/>
          <w:szCs w:val="24"/>
          <w:highlight w:val="none"/>
        </w:rPr>
      </w:pPr>
      <w:r>
        <w:rPr>
          <w:rFonts w:hint="eastAsia" w:ascii="宋体" w:hAnsi="宋体" w:cs="宋体"/>
          <w:color w:val="auto"/>
          <w:szCs w:val="24"/>
          <w:highlight w:val="none"/>
        </w:rPr>
        <w:t>报价文件包括以下内容：</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szCs w:val="24"/>
          <w:highlight w:val="none"/>
        </w:rPr>
        <w:t>磋商函（格式见附件）；</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szCs w:val="24"/>
          <w:highlight w:val="none"/>
        </w:rPr>
        <w:t>报价一览表（格式见附件）；</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szCs w:val="24"/>
          <w:highlight w:val="none"/>
        </w:rPr>
        <w:t>磋商报价明细表（格式见附件）；</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highlight w:val="none"/>
        </w:rPr>
        <w:t>二次报价表</w:t>
      </w:r>
      <w:r>
        <w:rPr>
          <w:rFonts w:hint="eastAsia" w:ascii="宋体" w:hAnsi="宋体" w:cs="宋体"/>
          <w:b/>
          <w:bCs/>
          <w:color w:val="auto"/>
          <w:highlight w:val="none"/>
        </w:rPr>
        <w:t>（</w:t>
      </w:r>
      <w:r>
        <w:rPr>
          <w:rFonts w:hint="eastAsia" w:ascii="宋体"/>
          <w:b/>
          <w:bCs/>
          <w:color w:val="auto"/>
          <w:szCs w:val="21"/>
          <w:highlight w:val="none"/>
          <w:lang w:val="zh-CN"/>
        </w:rPr>
        <w:t>此表无需在制作竞争性磋商响应文件时填写，作为磋商过程后二次报价时填写。最终报价由各磋商供应商在规定的时间内在政采云平台在线完成；政采云平台在线报价操作失败的，供应商应及时联系采购代理机构。）</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szCs w:val="24"/>
          <w:highlight w:val="none"/>
        </w:rPr>
        <w:t>中小企业声明函(如有)（格式见附件）；</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szCs w:val="24"/>
          <w:highlight w:val="none"/>
        </w:rPr>
        <w:t>残疾人福利性单位声明函(如有)（格式见附件）；</w:t>
      </w:r>
    </w:p>
    <w:p>
      <w:pPr>
        <w:pStyle w:val="31"/>
        <w:numPr>
          <w:ilvl w:val="0"/>
          <w:numId w:val="12"/>
        </w:numPr>
        <w:spacing w:before="0"/>
        <w:ind w:firstLine="480"/>
        <w:rPr>
          <w:rFonts w:ascii="宋体" w:hAnsi="宋体" w:cs="宋体"/>
          <w:color w:val="auto"/>
          <w:szCs w:val="24"/>
          <w:highlight w:val="none"/>
        </w:rPr>
      </w:pPr>
      <w:r>
        <w:rPr>
          <w:rFonts w:hint="eastAsia" w:ascii="宋体" w:hAnsi="宋体" w:cs="宋体"/>
          <w:color w:val="auto"/>
          <w:szCs w:val="24"/>
          <w:highlight w:val="none"/>
        </w:rPr>
        <w:t>监狱企业证明文件(如有)（格式见附件）。</w:t>
      </w:r>
    </w:p>
    <w:p>
      <w:pPr>
        <w:pStyle w:val="31"/>
        <w:spacing w:before="0"/>
        <w:ind w:firstLine="241" w:firstLineChars="100"/>
        <w:rPr>
          <w:rFonts w:ascii="宋体" w:hAnsi="宋体" w:cs="宋体"/>
          <w:b/>
          <w:bCs/>
          <w:color w:val="auto"/>
          <w:szCs w:val="24"/>
          <w:highlight w:val="none"/>
          <w:u w:val="single"/>
        </w:rPr>
      </w:pPr>
      <w:r>
        <w:rPr>
          <w:rFonts w:hint="eastAsia" w:ascii="宋体" w:hAnsi="宋体" w:cs="宋体"/>
          <w:b/>
          <w:bCs/>
          <w:color w:val="auto"/>
          <w:szCs w:val="24"/>
          <w:highlight w:val="none"/>
          <w:u w:val="single"/>
        </w:rPr>
        <w:t>注：“资格文件”、“商务技术文件”、“报价文件”须分3个PDF格式分别导入。</w:t>
      </w:r>
    </w:p>
    <w:p>
      <w:pPr>
        <w:pStyle w:val="31"/>
        <w:spacing w:before="0"/>
        <w:ind w:left="420" w:leftChars="200" w:firstLine="0" w:firstLineChars="0"/>
        <w:rPr>
          <w:rFonts w:ascii="宋体" w:hAnsi="宋体" w:cs="宋体"/>
          <w:b/>
          <w:bCs/>
          <w:color w:val="auto"/>
          <w:szCs w:val="24"/>
          <w:highlight w:val="none"/>
        </w:rPr>
      </w:pPr>
      <w:r>
        <w:rPr>
          <w:rFonts w:hint="eastAsia" w:ascii="宋体" w:hAnsi="宋体" w:cs="宋体"/>
          <w:b/>
          <w:bCs/>
          <w:color w:val="auto"/>
          <w:szCs w:val="24"/>
          <w:highlight w:val="none"/>
        </w:rPr>
        <w:t>10．响应文件有效期</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10.1 响应文件未在磋商响应截止时间前完成传输的或者未按时解密的，视为放弃磋商；响应文件解密失败后未提供备份文件或者备份文件也出现异常情况无法进行评审的，亦视为放弃磋商。</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10.2 响应文件上传后，自磋商响应截止日期起，在前附表所列的磋商响应文件有效期内有效。</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10.3 在原定有效期满之前，如果出现特殊情况，采购代理机构可以以书面形式向磋商供应商提出延长磋商有效期的要求，磋商供应商对此须以书面形式予以答复。</w:t>
      </w:r>
    </w:p>
    <w:p>
      <w:pPr>
        <w:pStyle w:val="31"/>
        <w:spacing w:before="0"/>
        <w:ind w:left="420" w:leftChars="200" w:firstLine="0" w:firstLineChars="0"/>
        <w:rPr>
          <w:rFonts w:ascii="宋体" w:hAnsi="宋体" w:cs="宋体"/>
          <w:b/>
          <w:bCs/>
          <w:color w:val="auto"/>
          <w:szCs w:val="24"/>
          <w:highlight w:val="none"/>
        </w:rPr>
      </w:pPr>
      <w:r>
        <w:rPr>
          <w:rFonts w:hint="eastAsia" w:ascii="宋体" w:hAnsi="宋体" w:cs="宋体"/>
          <w:b/>
          <w:bCs/>
          <w:color w:val="auto"/>
          <w:szCs w:val="24"/>
          <w:highlight w:val="none"/>
        </w:rPr>
        <w:t>11．供应商如有下列情况之一者列入不良行为记录：</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11.1 供应商在磋商响应文件有效期内撤回投标的；</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11.2 供应商或中标候选人放弃中标或中标候选人资格的；</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11.3 擅自修改或拒绝接受已经确认的条款；</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11.4 成交供应商未按规定与采购人签订合同；</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11.5 未按规定提供履约保证金；</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11.6 供应商采取提供虚假资料等不正当手段的；</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11.7 供应商在投标过程中串通投标的。</w:t>
      </w:r>
    </w:p>
    <w:p>
      <w:pPr>
        <w:pStyle w:val="31"/>
        <w:spacing w:before="0"/>
        <w:ind w:left="420" w:leftChars="200" w:firstLine="0" w:firstLineChars="0"/>
        <w:rPr>
          <w:rFonts w:ascii="宋体" w:hAnsi="宋体" w:cs="宋体"/>
          <w:b/>
          <w:bCs/>
          <w:color w:val="auto"/>
          <w:szCs w:val="24"/>
          <w:highlight w:val="none"/>
        </w:rPr>
      </w:pPr>
      <w:r>
        <w:rPr>
          <w:rFonts w:hint="eastAsia" w:ascii="宋体" w:hAnsi="宋体" w:cs="宋体"/>
          <w:b/>
          <w:bCs/>
          <w:color w:val="auto"/>
          <w:szCs w:val="24"/>
          <w:highlight w:val="none"/>
        </w:rPr>
        <w:t>12．响应文件的编制和签署</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12.1 按磋商文件9.1条、9.2条、9.3条要求提供的各种文件，响应文件分为资格文件、商务技术文件和报价文件三部分。</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12.2 响应文件须按附件格式要求进行电子签章，供应商应写全称。（电子磋商响应文件中所须加盖公章部分均应采用电子签章）</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12.3 全套响应文件应无涂改和行间插字，除非这些删改是根据采购代理机构要求进行，或者是供应商造成的必须修改的错误。所修改处应由法定代表人或其授权代表签字盖章予以确认。</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12.4 由于字迹模糊或表达不清引起的后果由供应商负责。</w:t>
      </w:r>
    </w:p>
    <w:p>
      <w:pPr>
        <w:pStyle w:val="31"/>
        <w:spacing w:before="0"/>
        <w:ind w:left="420" w:leftChars="200" w:firstLine="0" w:firstLineChars="0"/>
        <w:rPr>
          <w:rFonts w:ascii="宋体" w:hAnsi="宋体" w:cs="宋体"/>
          <w:b/>
          <w:bCs/>
          <w:color w:val="auto"/>
          <w:szCs w:val="24"/>
          <w:highlight w:val="none"/>
        </w:rPr>
      </w:pPr>
      <w:r>
        <w:rPr>
          <w:rFonts w:hint="eastAsia" w:ascii="宋体" w:hAnsi="宋体" w:cs="宋体"/>
          <w:b/>
          <w:bCs/>
          <w:color w:val="auto"/>
          <w:szCs w:val="24"/>
          <w:highlight w:val="none"/>
        </w:rPr>
        <w:t>13． 响应文件的形式</w:t>
      </w:r>
    </w:p>
    <w:p>
      <w:pPr>
        <w:pStyle w:val="31"/>
        <w:spacing w:before="0"/>
        <w:ind w:left="420" w:leftChars="200" w:firstLine="0" w:firstLineChars="0"/>
        <w:rPr>
          <w:rFonts w:ascii="宋体" w:hAnsi="宋体" w:cs="宋体"/>
          <w:color w:val="auto"/>
          <w:szCs w:val="24"/>
          <w:highlight w:val="none"/>
        </w:rPr>
      </w:pPr>
      <w:r>
        <w:rPr>
          <w:rFonts w:hint="eastAsia" w:ascii="宋体" w:hAnsi="宋体" w:cs="宋体"/>
          <w:color w:val="auto"/>
          <w:szCs w:val="24"/>
          <w:highlight w:val="none"/>
        </w:rPr>
        <w:t>响应文件为电子磋商响应文件，电子磋商响应文件按“政采云供应商项目采购-电子招投标操作指南”及本磋商文件要求制作、加密传输。</w:t>
      </w:r>
    </w:p>
    <w:p>
      <w:pPr>
        <w:pStyle w:val="2"/>
        <w:jc w:val="center"/>
        <w:rPr>
          <w:color w:val="auto"/>
          <w:highlight w:val="none"/>
        </w:rPr>
      </w:pPr>
      <w:bookmarkStart w:id="50" w:name="_Toc6097"/>
      <w:bookmarkStart w:id="51" w:name="_Toc1420"/>
      <w:r>
        <w:rPr>
          <w:rFonts w:hint="eastAsia"/>
          <w:color w:val="auto"/>
          <w:highlight w:val="none"/>
        </w:rPr>
        <w:t>四、响应文件的递交</w:t>
      </w:r>
      <w:bookmarkEnd w:id="50"/>
      <w:bookmarkEnd w:id="51"/>
    </w:p>
    <w:p>
      <w:pPr>
        <w:pStyle w:val="14"/>
        <w:spacing w:line="360" w:lineRule="auto"/>
        <w:ind w:left="420" w:leftChars="200"/>
        <w:rPr>
          <w:rFonts w:hAnsi="宋体" w:cs="宋体"/>
          <w:b/>
          <w:color w:val="auto"/>
          <w:sz w:val="24"/>
          <w:szCs w:val="24"/>
          <w:highlight w:val="none"/>
        </w:rPr>
      </w:pPr>
      <w:r>
        <w:rPr>
          <w:rFonts w:hint="eastAsia" w:hAnsi="宋体" w:cs="宋体"/>
          <w:b/>
          <w:color w:val="auto"/>
          <w:sz w:val="24"/>
          <w:szCs w:val="24"/>
          <w:highlight w:val="none"/>
        </w:rPr>
        <w:t>14、磋商响应截止期</w:t>
      </w:r>
    </w:p>
    <w:p>
      <w:pPr>
        <w:pStyle w:val="31"/>
        <w:numPr>
          <w:ilvl w:val="0"/>
          <w:numId w:val="13"/>
        </w:numPr>
        <w:spacing w:before="0"/>
        <w:ind w:firstLine="480"/>
        <w:rPr>
          <w:rFonts w:ascii="宋体" w:hAnsi="宋体" w:cs="宋体"/>
          <w:color w:val="auto"/>
          <w:szCs w:val="24"/>
          <w:highlight w:val="none"/>
        </w:rPr>
      </w:pPr>
      <w:r>
        <w:rPr>
          <w:rFonts w:hint="eastAsia" w:ascii="宋体" w:hAnsi="宋体" w:cs="宋体"/>
          <w:color w:val="auto"/>
          <w:highlight w:val="none"/>
        </w:rPr>
        <w:t>响应文件必须在规定的磋商响应截止时间前在政采云系统内完成传输，以纸质、电报、电话、传真形式的投标概不接受。为应对响应文件解密失败等异常情况，供应商可指派授权代表在磋商响应截止时间之前到达开标地点提交备份文件。</w:t>
      </w:r>
    </w:p>
    <w:p>
      <w:pPr>
        <w:pStyle w:val="31"/>
        <w:numPr>
          <w:ilvl w:val="0"/>
          <w:numId w:val="13"/>
        </w:numPr>
        <w:spacing w:before="0"/>
        <w:ind w:firstLine="480"/>
        <w:rPr>
          <w:rFonts w:ascii="宋体" w:hAnsi="宋体" w:cs="宋体"/>
          <w:color w:val="auto"/>
          <w:highlight w:val="none"/>
        </w:rPr>
      </w:pPr>
      <w:r>
        <w:rPr>
          <w:rFonts w:hint="eastAsia" w:ascii="宋体" w:hAnsi="宋体" w:cs="宋体"/>
          <w:color w:val="auto"/>
          <w:highlight w:val="none"/>
        </w:rPr>
        <w:t>采购人因故推迟磋商响应截止时间，将以公告形式通知。在这种情况下，采购人和供应商的权利和义务将受到新的截止时间的约束。</w:t>
      </w:r>
    </w:p>
    <w:p>
      <w:pPr>
        <w:pStyle w:val="14"/>
        <w:spacing w:line="360" w:lineRule="auto"/>
        <w:ind w:left="420" w:leftChars="200"/>
        <w:rPr>
          <w:rFonts w:hAnsi="宋体" w:cs="宋体"/>
          <w:b/>
          <w:color w:val="auto"/>
          <w:sz w:val="24"/>
          <w:szCs w:val="24"/>
          <w:highlight w:val="none"/>
        </w:rPr>
      </w:pPr>
      <w:r>
        <w:rPr>
          <w:rFonts w:hint="eastAsia" w:hAnsi="宋体" w:cs="宋体"/>
          <w:b/>
          <w:color w:val="auto"/>
          <w:sz w:val="24"/>
          <w:szCs w:val="24"/>
          <w:highlight w:val="none"/>
        </w:rPr>
        <w:t>15、响应文件的修改、撤销</w:t>
      </w:r>
    </w:p>
    <w:p>
      <w:pPr>
        <w:pStyle w:val="14"/>
        <w:spacing w:line="360" w:lineRule="auto"/>
        <w:ind w:firstLine="480" w:firstLineChars="200"/>
        <w:rPr>
          <w:color w:val="auto"/>
          <w:highlight w:val="none"/>
        </w:rPr>
      </w:pPr>
      <w:r>
        <w:rPr>
          <w:rFonts w:hint="eastAsia" w:hAnsi="宋体" w:cs="宋体"/>
          <w:color w:val="auto"/>
          <w:sz w:val="24"/>
          <w:highlight w:val="none"/>
        </w:rPr>
        <w:t>供应商应当在磋商响应截止时间前完成电子交易文件的传输递交，磋商响应截止时间前可以补充、修改或者撤回电子交易文件。补充或者修改电子交易文件的，应当先行撤回原文件，补充、修改后重新传输递交。磋商响应截止时间前未完成传输的，视为响应文件撤回。</w:t>
      </w:r>
      <w:bookmarkStart w:id="52" w:name="_Toc91899897"/>
      <w:bookmarkStart w:id="53" w:name="_Toc5501"/>
    </w:p>
    <w:p>
      <w:pPr>
        <w:pStyle w:val="2"/>
        <w:jc w:val="center"/>
        <w:rPr>
          <w:rFonts w:hAnsi="宋体" w:cs="宋体"/>
          <w:color w:val="auto"/>
          <w:szCs w:val="24"/>
          <w:highlight w:val="none"/>
        </w:rPr>
      </w:pPr>
      <w:bookmarkStart w:id="54" w:name="_Toc680"/>
      <w:r>
        <w:rPr>
          <w:rFonts w:hint="eastAsia"/>
          <w:color w:val="auto"/>
          <w:highlight w:val="none"/>
        </w:rPr>
        <w:t>五、</w:t>
      </w:r>
      <w:bookmarkEnd w:id="52"/>
      <w:bookmarkEnd w:id="53"/>
      <w:r>
        <w:rPr>
          <w:rFonts w:hint="eastAsia"/>
          <w:color w:val="auto"/>
          <w:highlight w:val="none"/>
        </w:rPr>
        <w:t>磋商无效的情形</w:t>
      </w:r>
      <w:bookmarkEnd w:id="54"/>
    </w:p>
    <w:p>
      <w:pPr>
        <w:pStyle w:val="14"/>
        <w:snapToGrid w:val="0"/>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16.无效响应</w:t>
      </w:r>
    </w:p>
    <w:p>
      <w:pPr>
        <w:pStyle w:val="14"/>
        <w:snapToGrid w:val="0"/>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经过审查，凡不符合有关规定，不响应磋商文件的实质性条款，存在以下重大偏离之一的，经磋商小组认定，并由采购人报采购办、监督办备案，将因未通过资格性或符合性审查而被作为无效响应处理：</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16.1未按照磋商文件规定要求签署、盖章的；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 xml:space="preserve">16.2《法定代表人授权书》填写不全、错误、未加盖供应商公章（公章和签字或盖章缺一不可）； </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16.3个体工商户的身份证明与营业执照不一致的；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16.4响应文件中的磋商函未加盖供应商的企业公章或填写不全的；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16.5报价一经涂改，未在涂改处加盖投标单位公章或者未经法定代表人或其授权代表签字或盖章的；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16.6因未按规定的格式填写，内容不全或主要实质性内容字迹模糊辨认不清,经评标委员会认定为无法评审的；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16.7出现同一标的物或本次采购产品(服务)内的主要产品(重要组成部分)出现技术、商务描述不一致或前后描述不一致，经评标委员会认定后为无法评审的；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16.8响应详细配置清单响应表不真实填写或弄虚作假的；改变磋商文件提供的清单中的计量单位、工程数量；</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16.9对采购产品技术规格未详细应答，致使其技术文件无法评审的；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16.10响应文件有采购方不能接受的条件；</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16.11评标委员会认为供应商的报价明显低于其他通过符合性审查供应商的报价，有可能影响产品质量或者不能诚信履约的，应当要求其在评标现场合理的时间内通过政采云平台提供线上说明，必要时提交相关证明材料。</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16.12磋商报价超过预算金额或最高限价的；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16.13响应文件“商务技术文件资料”部分中出现《报价一览表》或《磋商报价明细表》相关内容的；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16.14评标委员会认定有重大偏差或实质性不响应磋商文件要求的，即“★”的关键性指标及技术参数要求负偏离或缺漏；</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16.15供应商拒绝按磋商文件规定的修正原则对响应文件进行修改的；</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16.16有下列情形之一的，视为供应商串通投标，其投标无效：</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16.16.1不同供应商的响应文件由同一单位或者个人编制；</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16.16.2不同供应商委托同一单位或者个人办理投标事宜；</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16.16.3不同供应商的响应文件载明的项目管理成员或者联系人员为同一人；</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16.16.4不同供应商的响应文件异常一致或者投标报价呈规律性差异；</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16.16.5不同供应商提供的响应文件出自同一终端设备的，或在相同Internet主机分配地址（相同IP地址）报名或网上投标的，且经询标澄清供应商无令人信服的理由和可靠证据证明其合理性的，经评标委员会半数以上成员确认有串通投标嫌疑的。</w:t>
      </w:r>
    </w:p>
    <w:p>
      <w:pPr>
        <w:pStyle w:val="2"/>
        <w:jc w:val="center"/>
        <w:rPr>
          <w:color w:val="auto"/>
          <w:highlight w:val="none"/>
        </w:rPr>
      </w:pPr>
    </w:p>
    <w:p>
      <w:pPr>
        <w:pStyle w:val="2"/>
        <w:jc w:val="center"/>
        <w:rPr>
          <w:color w:val="auto"/>
          <w:highlight w:val="none"/>
        </w:rPr>
      </w:pPr>
      <w:bookmarkStart w:id="55" w:name="_Toc24378"/>
      <w:r>
        <w:rPr>
          <w:rFonts w:hint="eastAsia"/>
          <w:color w:val="auto"/>
          <w:highlight w:val="none"/>
        </w:rPr>
        <w:t>六、采购中止的情形</w:t>
      </w:r>
      <w:bookmarkEnd w:id="55"/>
    </w:p>
    <w:p>
      <w:pPr>
        <w:pStyle w:val="14"/>
        <w:spacing w:line="360" w:lineRule="auto"/>
        <w:ind w:left="420" w:leftChars="200"/>
        <w:rPr>
          <w:rFonts w:hAnsi="宋体" w:cs="宋体"/>
          <w:b/>
          <w:color w:val="auto"/>
          <w:sz w:val="24"/>
          <w:szCs w:val="24"/>
          <w:highlight w:val="none"/>
        </w:rPr>
      </w:pPr>
      <w:r>
        <w:rPr>
          <w:rFonts w:hint="eastAsia" w:hAnsi="宋体" w:cs="宋体"/>
          <w:b/>
          <w:bCs/>
          <w:color w:val="auto"/>
          <w:sz w:val="24"/>
          <w:szCs w:val="24"/>
          <w:highlight w:val="none"/>
        </w:rPr>
        <w:t>17、</w:t>
      </w:r>
      <w:r>
        <w:rPr>
          <w:rFonts w:hint="eastAsia" w:hAnsi="宋体" w:cs="宋体"/>
          <w:b/>
          <w:bCs/>
          <w:color w:val="auto"/>
          <w:sz w:val="24"/>
          <w:szCs w:val="24"/>
          <w:highlight w:val="none"/>
          <w:lang w:val="zh-CN"/>
        </w:rPr>
        <w:t>中止电子交易活动和</w:t>
      </w:r>
      <w:r>
        <w:rPr>
          <w:rFonts w:hint="eastAsia" w:hAnsi="宋体" w:cs="宋体"/>
          <w:b/>
          <w:color w:val="auto"/>
          <w:sz w:val="24"/>
          <w:szCs w:val="24"/>
          <w:highlight w:val="none"/>
        </w:rPr>
        <w:t>重新组织采购</w:t>
      </w:r>
    </w:p>
    <w:p>
      <w:pPr>
        <w:pStyle w:val="31"/>
        <w:tabs>
          <w:tab w:val="left" w:pos="0"/>
        </w:tabs>
        <w:spacing w:before="0"/>
        <w:ind w:left="420" w:leftChars="200" w:firstLine="0" w:firstLineChars="0"/>
        <w:rPr>
          <w:rFonts w:ascii="宋体" w:hAnsi="宋体" w:cs="宋体"/>
          <w:color w:val="auto"/>
          <w:szCs w:val="24"/>
          <w:highlight w:val="none"/>
          <w:lang w:val="zh-CN"/>
        </w:rPr>
      </w:pPr>
      <w:r>
        <w:rPr>
          <w:rFonts w:hint="eastAsia" w:ascii="宋体" w:hAnsi="宋体" w:cs="宋体"/>
          <w:color w:val="auto"/>
          <w:szCs w:val="24"/>
          <w:highlight w:val="none"/>
        </w:rPr>
        <w:t>17.1</w:t>
      </w:r>
      <w:r>
        <w:rPr>
          <w:rFonts w:hint="eastAsia" w:ascii="宋体" w:hAnsi="宋体" w:cs="宋体"/>
          <w:color w:val="auto"/>
          <w:szCs w:val="24"/>
          <w:highlight w:val="none"/>
          <w:lang w:val="zh-CN"/>
        </w:rPr>
        <w:t>采购过程中出现以下情形，导致电子交易平台无法正常运行，或者无法保证电子交易的公平、公正和安全时，采购组织机构可中止电子交易活动：</w:t>
      </w:r>
    </w:p>
    <w:p>
      <w:pPr>
        <w:numPr>
          <w:ilvl w:val="0"/>
          <w:numId w:val="14"/>
        </w:numPr>
        <w:tabs>
          <w:tab w:val="left" w:pos="0"/>
        </w:tabs>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 xml:space="preserve">电子交易平台发生故障而无法登录访问的； </w:t>
      </w:r>
    </w:p>
    <w:p>
      <w:pPr>
        <w:numPr>
          <w:ilvl w:val="0"/>
          <w:numId w:val="14"/>
        </w:numPr>
        <w:tabs>
          <w:tab w:val="left" w:pos="0"/>
        </w:tabs>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电子交易平台应用或数据库出现错误，不能进行正常操作的；</w:t>
      </w:r>
    </w:p>
    <w:p>
      <w:pPr>
        <w:numPr>
          <w:ilvl w:val="0"/>
          <w:numId w:val="14"/>
        </w:numPr>
        <w:tabs>
          <w:tab w:val="left" w:pos="0"/>
        </w:tabs>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电子交易平台发现严重安全漏洞，有潜在泄密危险的；</w:t>
      </w:r>
    </w:p>
    <w:p>
      <w:pPr>
        <w:numPr>
          <w:ilvl w:val="0"/>
          <w:numId w:val="14"/>
        </w:numPr>
        <w:tabs>
          <w:tab w:val="left" w:pos="0"/>
        </w:tabs>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 xml:space="preserve">病毒发作导致不能进行正常操作的； </w:t>
      </w:r>
    </w:p>
    <w:p>
      <w:pPr>
        <w:numPr>
          <w:ilvl w:val="0"/>
          <w:numId w:val="14"/>
        </w:numPr>
        <w:tabs>
          <w:tab w:val="left" w:pos="0"/>
        </w:tabs>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其他无法保证电子交易的公平、公正和安全的情况。</w:t>
      </w:r>
    </w:p>
    <w:p>
      <w:pPr>
        <w:pStyle w:val="31"/>
        <w:tabs>
          <w:tab w:val="left" w:pos="0"/>
        </w:tabs>
        <w:spacing w:before="0"/>
        <w:ind w:firstLine="480"/>
        <w:rPr>
          <w:rFonts w:ascii="宋体" w:hAnsi="宋体" w:cs="宋体"/>
          <w:color w:val="auto"/>
          <w:szCs w:val="24"/>
          <w:highlight w:val="none"/>
        </w:rPr>
      </w:pPr>
      <w:r>
        <w:rPr>
          <w:rFonts w:hint="eastAsia" w:ascii="宋体" w:hAnsi="宋体" w:cs="宋体"/>
          <w:color w:val="auto"/>
          <w:szCs w:val="24"/>
          <w:highlight w:val="none"/>
        </w:rPr>
        <w:t>17.2磋商小组发现磋商文件存在歧义、重大缺陷导致评标工作无法进行，或者磋商文件内容违反国家有关强制性规定的，将停止评标工作，并与采购人、采购代理机构沟通并作书面记录。采购人、采购代理机构确认后，将修改磋商文件，重新组织采购活动。</w:t>
      </w:r>
    </w:p>
    <w:p>
      <w:pPr>
        <w:pStyle w:val="2"/>
        <w:jc w:val="center"/>
        <w:rPr>
          <w:color w:val="auto"/>
          <w:highlight w:val="none"/>
        </w:rPr>
      </w:pPr>
    </w:p>
    <w:p>
      <w:pPr>
        <w:pStyle w:val="2"/>
        <w:jc w:val="center"/>
        <w:rPr>
          <w:color w:val="auto"/>
          <w:highlight w:val="none"/>
        </w:rPr>
      </w:pPr>
      <w:bookmarkStart w:id="56" w:name="_Toc17010"/>
      <w:r>
        <w:rPr>
          <w:rFonts w:hint="eastAsia"/>
          <w:color w:val="auto"/>
          <w:highlight w:val="none"/>
        </w:rPr>
        <w:t>七、确定成交供应商与签订合同</w:t>
      </w:r>
      <w:bookmarkEnd w:id="56"/>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18、推荐成交候选供应商</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18.1 磋商小组应当根据综合评分情况，按照评审得分由高到低顺序推荐1名或以上成交候选供应商，并编写评审报告。评审得分相同的，按照最后报价由低到高的顺序推荐。评审得分且最后报价相同的，按照技术指标优劣顺序推荐。</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18.2 采购代理机构应当在评审结束后2个工作日内将评审报告送采购人确认。</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19、确定成交供应商</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19.1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19.2采购人或者采购代理机构应当在成交供应商确定后2个工作日内，在省级以上财政部门指定的政府采购信息发布媒体上公告成交结果，同时向成交供应商发出成交通知书。</w:t>
      </w:r>
    </w:p>
    <w:p>
      <w:pPr>
        <w:adjustRightIn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20、签订合同</w:t>
      </w:r>
    </w:p>
    <w:p>
      <w:pPr>
        <w:pStyle w:val="31"/>
        <w:snapToGrid w:val="0"/>
        <w:spacing w:before="0"/>
        <w:ind w:firstLine="480"/>
        <w:rPr>
          <w:rFonts w:ascii="宋体" w:hAnsi="宋体" w:cs="宋体"/>
          <w:color w:val="auto"/>
          <w:szCs w:val="24"/>
          <w:highlight w:val="none"/>
        </w:rPr>
      </w:pPr>
      <w:r>
        <w:rPr>
          <w:rFonts w:hint="eastAsia" w:ascii="宋体" w:hAnsi="宋体" w:cs="宋体"/>
          <w:color w:val="auto"/>
          <w:szCs w:val="24"/>
          <w:highlight w:val="none"/>
        </w:rPr>
        <w:t>20.1. 采购人与成交供应商应当在成交通知书发出之日起30日内，按照磋商文件确定的合同文本以及采购标的、规格型号、采购金额、采购数量、技术和服务要求等事项签订政府采购合同。</w:t>
      </w:r>
    </w:p>
    <w:p>
      <w:pPr>
        <w:pStyle w:val="31"/>
        <w:snapToGrid w:val="0"/>
        <w:spacing w:before="0"/>
        <w:ind w:firstLine="480"/>
        <w:rPr>
          <w:rFonts w:ascii="宋体" w:hAnsi="宋体" w:cs="宋体"/>
          <w:color w:val="auto"/>
          <w:szCs w:val="24"/>
          <w:highlight w:val="none"/>
        </w:rPr>
      </w:pPr>
      <w:r>
        <w:rPr>
          <w:rFonts w:hint="eastAsia" w:ascii="宋体" w:hAnsi="宋体" w:cs="宋体"/>
          <w:color w:val="auto"/>
          <w:szCs w:val="24"/>
          <w:highlight w:val="none"/>
        </w:rPr>
        <w:t>20.2. 成交供应商拒绝签订政府采购合同的，采购人可以按照《政府采购竞争性磋商采购方式管理暂行办法》（财库〔2014〕214号）第二十八条第二款规定的原则确定其他供应商作为成交供应商并签订政府采购合同，也可以重新开展采购活动。拒绝签订政府采购合同的成交供应商不得参加对该项目重新开展的采购活动。</w:t>
      </w:r>
    </w:p>
    <w:p>
      <w:pPr>
        <w:adjustRightInd w:val="0"/>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21、解释权</w:t>
      </w:r>
    </w:p>
    <w:p>
      <w:pPr>
        <w:adjustRightIn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磋商文件的解释权均属于</w:t>
      </w:r>
      <w:r>
        <w:rPr>
          <w:rFonts w:hint="eastAsia" w:ascii="宋体" w:hAnsi="宋体" w:cs="宋体"/>
          <w:color w:val="auto"/>
          <w:sz w:val="24"/>
          <w:highlight w:val="none"/>
          <w:u w:val="single"/>
        </w:rPr>
        <w:t>绍兴市上虞区</w:t>
      </w:r>
      <w:r>
        <w:rPr>
          <w:rFonts w:hint="eastAsia" w:ascii="宋体" w:hAnsi="宋体" w:cs="宋体"/>
          <w:color w:val="auto"/>
          <w:sz w:val="24"/>
          <w:highlight w:val="none"/>
          <w:u w:val="single"/>
          <w:lang w:val="en-US" w:eastAsia="zh-CN"/>
        </w:rPr>
        <w:t>应急管理局</w:t>
      </w:r>
      <w:r>
        <w:rPr>
          <w:rFonts w:hint="eastAsia" w:ascii="宋体" w:hAnsi="宋体" w:cs="宋体"/>
          <w:color w:val="auto"/>
          <w:sz w:val="24"/>
          <w:highlight w:val="none"/>
        </w:rPr>
        <w:t>和</w:t>
      </w:r>
      <w:r>
        <w:rPr>
          <w:rFonts w:hint="eastAsia" w:ascii="宋体" w:hAnsi="宋体" w:cs="宋体"/>
          <w:color w:val="auto"/>
          <w:sz w:val="24"/>
          <w:highlight w:val="none"/>
          <w:u w:val="single"/>
        </w:rPr>
        <w:t xml:space="preserve"> 浙江</w:t>
      </w:r>
      <w:r>
        <w:rPr>
          <w:rFonts w:hint="eastAsia" w:ascii="宋体" w:hAnsi="宋体" w:cs="宋体"/>
          <w:color w:val="auto"/>
          <w:sz w:val="24"/>
          <w:highlight w:val="none"/>
          <w:u w:val="single"/>
          <w:lang w:val="en-US" w:eastAsia="zh-CN"/>
        </w:rPr>
        <w:t>智杰建设管理</w:t>
      </w:r>
      <w:r>
        <w:rPr>
          <w:rFonts w:hint="eastAsia" w:ascii="宋体" w:hAnsi="宋体" w:cs="宋体"/>
          <w:color w:val="auto"/>
          <w:sz w:val="24"/>
          <w:highlight w:val="none"/>
          <w:u w:val="single"/>
        </w:rPr>
        <w:t xml:space="preserve">有限公司 </w:t>
      </w:r>
      <w:r>
        <w:rPr>
          <w:rFonts w:hint="eastAsia" w:ascii="宋体" w:hAnsi="宋体" w:cs="宋体"/>
          <w:color w:val="auto"/>
          <w:sz w:val="24"/>
          <w:highlight w:val="none"/>
        </w:rPr>
        <w:t>。</w:t>
      </w:r>
    </w:p>
    <w:p>
      <w:pPr>
        <w:rPr>
          <w:rFonts w:hint="default"/>
          <w:color w:val="auto"/>
          <w:highlight w:val="none"/>
        </w:rPr>
      </w:pPr>
    </w:p>
    <w:p>
      <w:pPr>
        <w:rPr>
          <w:color w:val="auto"/>
          <w:sz w:val="36"/>
          <w:szCs w:val="21"/>
          <w:highlight w:val="none"/>
        </w:rPr>
      </w:pPr>
      <w:r>
        <w:rPr>
          <w:rFonts w:hint="eastAsia"/>
          <w:color w:val="auto"/>
          <w:sz w:val="36"/>
          <w:szCs w:val="21"/>
          <w:highlight w:val="none"/>
        </w:rPr>
        <w:br w:type="page"/>
      </w:r>
    </w:p>
    <w:p>
      <w:pPr>
        <w:pStyle w:val="4"/>
        <w:numPr>
          <w:ilvl w:val="0"/>
          <w:numId w:val="15"/>
        </w:numPr>
        <w:jc w:val="center"/>
        <w:rPr>
          <w:color w:val="auto"/>
          <w:sz w:val="36"/>
          <w:szCs w:val="21"/>
          <w:highlight w:val="none"/>
        </w:rPr>
      </w:pPr>
      <w:bookmarkStart w:id="57" w:name="_Toc32115"/>
      <w:r>
        <w:rPr>
          <w:rFonts w:hint="eastAsia"/>
          <w:color w:val="auto"/>
          <w:sz w:val="36"/>
          <w:szCs w:val="21"/>
          <w:highlight w:val="none"/>
        </w:rPr>
        <w:t>采购内容及要求</w:t>
      </w:r>
      <w:bookmarkEnd w:id="57"/>
    </w:p>
    <w:p>
      <w:pPr>
        <w:pStyle w:val="2"/>
        <w:numPr>
          <w:ilvl w:val="0"/>
          <w:numId w:val="16"/>
        </w:numPr>
        <w:jc w:val="center"/>
        <w:rPr>
          <w:color w:val="auto"/>
          <w:highlight w:val="none"/>
        </w:rPr>
      </w:pPr>
      <w:bookmarkStart w:id="58" w:name="_Toc20869"/>
      <w:bookmarkStart w:id="59" w:name="_Toc28710"/>
      <w:bookmarkStart w:id="60" w:name="_Toc13555"/>
      <w:bookmarkStart w:id="61" w:name="_Toc506107120"/>
      <w:bookmarkStart w:id="62" w:name="_Toc4998"/>
      <w:bookmarkStart w:id="63" w:name="_Toc17885"/>
      <w:r>
        <w:rPr>
          <w:rFonts w:hint="eastAsia"/>
          <w:color w:val="auto"/>
          <w:highlight w:val="none"/>
        </w:rPr>
        <w:t>采购内容及要求</w:t>
      </w:r>
      <w:bookmarkEnd w:id="58"/>
      <w:bookmarkEnd w:id="59"/>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b/>
          <w:bCs/>
          <w:color w:val="auto"/>
          <w:sz w:val="24"/>
          <w:highlight w:val="none"/>
        </w:rPr>
      </w:pPr>
      <w:bookmarkStart w:id="64" w:name="_Toc506107121"/>
      <w:bookmarkStart w:id="65" w:name="_Toc25469"/>
      <w:bookmarkStart w:id="66" w:name="_Toc31735"/>
      <w:bookmarkStart w:id="67" w:name="_Toc15473"/>
      <w:bookmarkStart w:id="68" w:name="_Toc28762"/>
      <w:r>
        <w:rPr>
          <w:rFonts w:hint="eastAsia" w:ascii="宋体" w:hAnsi="宋体"/>
          <w:b/>
          <w:bCs/>
          <w:color w:val="auto"/>
          <w:sz w:val="24"/>
          <w:highlight w:val="none"/>
        </w:rPr>
        <w:t xml:space="preserve">（一）检测（鉴定）技术服务主要规范依据（不限于以下标准）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1、《建筑结构检测技术标准》GB/T50344-2004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2、《危险房屋鉴定标准》JGJ125-2016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3、《民用建筑可靠性鉴定标准》GB50292-2015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4、《工业建筑可靠性鉴定标准》GB50144-2008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5、《混凝土结构工程施工质量验收规范》GB50204-2015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6、《砌体结构工程施工质量验收规范》GB50203-2002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7、《钢结构工程施工质量验收规范》GB50205-2017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8、《建筑地基基础工程施工质量验收规范》GB50202-2018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9、《建筑变形测量规程》JGJ8-2016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10、《村镇避灾场所建设技术规程》DB33/1066-2010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11、《避灾安置场所建设与管理规范》DB33/1066-2010</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b/>
          <w:bCs/>
          <w:color w:val="auto"/>
          <w:sz w:val="24"/>
          <w:highlight w:val="none"/>
        </w:rPr>
      </w:pPr>
      <w:r>
        <w:rPr>
          <w:rFonts w:hint="eastAsia" w:ascii="宋体" w:hAnsi="宋体"/>
          <w:b/>
          <w:bCs/>
          <w:color w:val="auto"/>
          <w:sz w:val="24"/>
          <w:highlight w:val="none"/>
        </w:rPr>
        <w:t>（二）项目概况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我</w:t>
      </w:r>
      <w:r>
        <w:rPr>
          <w:rFonts w:hint="eastAsia" w:ascii="宋体" w:hAnsi="宋体"/>
          <w:color w:val="auto"/>
          <w:sz w:val="24"/>
          <w:highlight w:val="none"/>
          <w:lang w:val="en-US" w:eastAsia="zh-CN"/>
        </w:rPr>
        <w:t>区</w:t>
      </w:r>
      <w:r>
        <w:rPr>
          <w:rFonts w:hint="eastAsia" w:ascii="宋体" w:hAnsi="宋体"/>
          <w:color w:val="auto"/>
          <w:sz w:val="24"/>
          <w:highlight w:val="none"/>
        </w:rPr>
        <w:t>部分镇乡（街道）避灾安置场所由于</w:t>
      </w:r>
      <w:r>
        <w:rPr>
          <w:rFonts w:hint="eastAsia" w:ascii="宋体" w:hAnsi="宋体"/>
          <w:color w:val="auto"/>
          <w:sz w:val="24"/>
          <w:highlight w:val="none"/>
          <w:lang w:val="en-US" w:eastAsia="zh-CN"/>
        </w:rPr>
        <w:t>部分建筑</w:t>
      </w:r>
      <w:r>
        <w:rPr>
          <w:rFonts w:hint="eastAsia" w:ascii="宋体" w:hAnsi="宋体"/>
          <w:color w:val="auto"/>
          <w:sz w:val="24"/>
          <w:highlight w:val="none"/>
        </w:rPr>
        <w:t>建造年代久远等原因，</w:t>
      </w:r>
      <w:r>
        <w:rPr>
          <w:rFonts w:hint="eastAsia" w:ascii="宋体" w:hAnsi="宋体"/>
          <w:color w:val="auto"/>
          <w:sz w:val="24"/>
          <w:highlight w:val="none"/>
          <w:lang w:val="en-US" w:eastAsia="zh-CN"/>
        </w:rPr>
        <w:t>房屋</w:t>
      </w:r>
      <w:r>
        <w:rPr>
          <w:rFonts w:hint="eastAsia" w:ascii="宋体" w:hAnsi="宋体"/>
          <w:color w:val="auto"/>
          <w:sz w:val="24"/>
          <w:highlight w:val="none"/>
        </w:rPr>
        <w:t>安全存在一定隐患，为全面了解掌握避灾安置场所房屋安全性能，需住房安全检测专业机构对全</w:t>
      </w:r>
      <w:r>
        <w:rPr>
          <w:rFonts w:hint="eastAsia" w:ascii="宋体" w:hAnsi="宋体"/>
          <w:color w:val="auto"/>
          <w:sz w:val="24"/>
          <w:highlight w:val="none"/>
          <w:lang w:val="en-US" w:eastAsia="zh-CN"/>
        </w:rPr>
        <w:t>区</w:t>
      </w:r>
      <w:r>
        <w:rPr>
          <w:rFonts w:hint="eastAsia" w:ascii="宋体" w:hAnsi="宋体"/>
          <w:color w:val="auto"/>
          <w:sz w:val="24"/>
          <w:highlight w:val="none"/>
        </w:rPr>
        <w:t>部分镇乡（街道）避灾安置场所房屋的建筑安全性进行</w:t>
      </w:r>
      <w:r>
        <w:rPr>
          <w:rFonts w:hint="eastAsia" w:ascii="宋体" w:hAnsi="宋体"/>
          <w:color w:val="auto"/>
          <w:sz w:val="24"/>
          <w:highlight w:val="none"/>
          <w:lang w:val="en-US" w:eastAsia="zh-CN"/>
        </w:rPr>
        <w:t>鉴定</w:t>
      </w:r>
      <w:r>
        <w:rPr>
          <w:rFonts w:hint="eastAsia" w:ascii="宋体" w:hAnsi="宋体"/>
          <w:color w:val="auto"/>
          <w:sz w:val="24"/>
          <w:highlight w:val="none"/>
        </w:rPr>
        <w:t>检测。</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b/>
          <w:bCs/>
          <w:color w:val="auto"/>
          <w:sz w:val="24"/>
          <w:highlight w:val="none"/>
        </w:rPr>
      </w:pPr>
      <w:r>
        <w:rPr>
          <w:rFonts w:hint="eastAsia" w:ascii="宋体" w:hAnsi="宋体"/>
          <w:b/>
          <w:bCs/>
          <w:color w:val="auto"/>
          <w:sz w:val="24"/>
          <w:highlight w:val="none"/>
        </w:rPr>
        <w:t>（三）项目数量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上虞区313</w:t>
      </w:r>
      <w:r>
        <w:rPr>
          <w:rFonts w:hint="eastAsia" w:ascii="宋体" w:hAnsi="宋体"/>
          <w:color w:val="auto"/>
          <w:sz w:val="24"/>
          <w:highlight w:val="none"/>
        </w:rPr>
        <w:t>个避灾安置场所房屋安全</w:t>
      </w:r>
      <w:r>
        <w:rPr>
          <w:rFonts w:hint="eastAsia" w:ascii="宋体" w:hAnsi="宋体"/>
          <w:color w:val="auto"/>
          <w:sz w:val="24"/>
          <w:highlight w:val="none"/>
          <w:lang w:val="en-US" w:eastAsia="zh-CN"/>
        </w:rPr>
        <w:t>鉴定</w:t>
      </w:r>
      <w:r>
        <w:rPr>
          <w:rFonts w:hint="eastAsia" w:ascii="宋体" w:hAnsi="宋体"/>
          <w:color w:val="auto"/>
          <w:sz w:val="24"/>
          <w:highlight w:val="none"/>
        </w:rPr>
        <w:t>检测（具体以实际内容为准）。</w:t>
      </w:r>
    </w:p>
    <w:tbl>
      <w:tblPr>
        <w:tblStyle w:val="23"/>
        <w:tblW w:w="9990" w:type="dxa"/>
        <w:jc w:val="center"/>
        <w:tblLayout w:type="autofit"/>
        <w:tblCellMar>
          <w:top w:w="0" w:type="dxa"/>
          <w:left w:w="0" w:type="dxa"/>
          <w:bottom w:w="0" w:type="dxa"/>
          <w:right w:w="0" w:type="dxa"/>
        </w:tblCellMar>
      </w:tblPr>
      <w:tblGrid>
        <w:gridCol w:w="660"/>
        <w:gridCol w:w="1095"/>
        <w:gridCol w:w="3330"/>
        <w:gridCol w:w="3660"/>
        <w:gridCol w:w="1245"/>
      </w:tblGrid>
      <w:tr>
        <w:tblPrEx>
          <w:tblCellMar>
            <w:top w:w="0" w:type="dxa"/>
            <w:left w:w="0" w:type="dxa"/>
            <w:bottom w:w="0" w:type="dxa"/>
            <w:right w:w="0" w:type="dxa"/>
          </w:tblCellMar>
        </w:tblPrEx>
        <w:trPr>
          <w:trHeight w:val="64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序号</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区域</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场所名称</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场所地址</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建筑面积（平方米）</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SA"/>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上虞区城西避灾安置中心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上虞外国语学校</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SA"/>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上虞区城北避灾安置中心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职教中心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百官街道路东村春晖中学路口</w:t>
            </w:r>
            <w:r>
              <w:rPr>
                <w:rStyle w:val="44"/>
                <w:rFonts w:eastAsia="宋体"/>
                <w:color w:val="auto"/>
                <w:highlight w:val="none"/>
                <w:lang w:val="en-US" w:eastAsia="zh-CN" w:bidi="ar"/>
              </w:rPr>
              <w:br w:type="textWrapping"/>
            </w:r>
            <w:r>
              <w:rPr>
                <w:rStyle w:val="43"/>
                <w:color w:val="auto"/>
                <w:highlight w:val="none"/>
                <w:lang w:val="en-US" w:eastAsia="zh-CN" w:bidi="ar"/>
              </w:rPr>
              <w:t>百官街道社会养老服务中心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百官街道城南社区避灾安置点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多元西路55号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百官街道文化社区避灾安置点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百官街道文化路98号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百官街道新建居委避灾安置点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凤鸣路218号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2800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百官街道金家岙村避灾安置点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百官街道金家岙村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百官街道联新村避灾安置点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百官街道联新村村委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1064</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百官街道头甲社区避灾安置点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百官街道头甲村文化活动中心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百官街道外严村避灾安置点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百官街道外严村文化活动中心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百官街道南一村避灾安置点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百官街道南一村村委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百官街道星五村居委避灾安置点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百官街道星五村居委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百官街道恒利社区避灾安置点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百官街道恒利社区居委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百官街道路东村避灾安置点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百官街道路东村村委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百官街道岭光社区避灾安置点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百官街道多元东路</w:t>
            </w:r>
            <w:r>
              <w:rPr>
                <w:rStyle w:val="44"/>
                <w:rFonts w:eastAsia="宋体"/>
                <w:color w:val="auto"/>
                <w:highlight w:val="none"/>
                <w:lang w:val="en-US" w:eastAsia="zh-CN" w:bidi="ar"/>
              </w:rPr>
              <w:t>350</w:t>
            </w:r>
            <w:r>
              <w:rPr>
                <w:rStyle w:val="43"/>
                <w:color w:val="auto"/>
                <w:highlight w:val="none"/>
                <w:lang w:val="en-US" w:eastAsia="zh-CN" w:bidi="ar"/>
              </w:rPr>
              <w:t>号岭光社区党群服务中心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百官街道盛丰社区避灾安置点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百官街道盛丰新村</w:t>
            </w:r>
            <w:r>
              <w:rPr>
                <w:rStyle w:val="44"/>
                <w:rFonts w:eastAsia="宋体"/>
                <w:color w:val="auto"/>
                <w:highlight w:val="none"/>
                <w:lang w:val="en-US" w:eastAsia="zh-CN" w:bidi="ar"/>
              </w:rPr>
              <w:t>66</w:t>
            </w:r>
            <w:r>
              <w:rPr>
                <w:rStyle w:val="43"/>
                <w:color w:val="auto"/>
                <w:highlight w:val="none"/>
                <w:lang w:val="en-US" w:eastAsia="zh-CN" w:bidi="ar"/>
              </w:rPr>
              <w:t>幢盛丰社区</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舜耕大道北200米</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曹娥街道民丰居委避灾安置点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民丰社区西侧</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曹娥街道狮子居委避灾安置点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曹娥街道狮子居委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325</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曹娥街道前村村避灾安置点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曹娥街道前村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曹娥街道越爱居委避灾安置点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曹娥街道越爱居委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曹娥街道新沙居委避灾安置点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曹娥街道新沙居委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曹娥街道茅家村避灾安置点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茅家村文化礼堂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曹娥街道董村村避灾安置点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曹娥街道董村村居委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75</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曹娥街道蒿东村避灾安置点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曹娥街道蒿东村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130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曹娥街道曹娥社区避灾安置点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曹娥街道大三角社区舜锦路</w:t>
            </w:r>
            <w:r>
              <w:rPr>
                <w:rStyle w:val="44"/>
                <w:rFonts w:eastAsia="宋体"/>
                <w:color w:val="auto"/>
                <w:highlight w:val="none"/>
                <w:lang w:val="en-US" w:eastAsia="zh-CN" w:bidi="ar"/>
              </w:rPr>
              <w:t>37-41</w:t>
            </w:r>
            <w:r>
              <w:rPr>
                <w:rStyle w:val="43"/>
                <w:color w:val="auto"/>
                <w:highlight w:val="none"/>
                <w:lang w:val="en-US" w:eastAsia="zh-CN" w:bidi="ar"/>
              </w:rPr>
              <w:t>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110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曹娥街道蒿坝村避灾安置点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曹娥街道蒿坝小学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曹娥街道和城社区避灾安置点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曹娥街道嘉和路</w:t>
            </w:r>
            <w:r>
              <w:rPr>
                <w:rStyle w:val="44"/>
                <w:rFonts w:eastAsia="宋体"/>
                <w:color w:val="auto"/>
                <w:highlight w:val="none"/>
                <w:lang w:val="en-US" w:eastAsia="zh-CN" w:bidi="ar"/>
              </w:rPr>
              <w:t>31</w:t>
            </w:r>
            <w:r>
              <w:rPr>
                <w:rStyle w:val="43"/>
                <w:color w:val="auto"/>
                <w:highlight w:val="none"/>
                <w:lang w:val="en-US" w:eastAsia="zh-CN" w:bidi="ar"/>
              </w:rPr>
              <w:t>号营业房</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曹娥街道江滨社区避灾安置点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曹娥街道金舜花园</w:t>
            </w:r>
            <w:r>
              <w:rPr>
                <w:rStyle w:val="44"/>
                <w:rFonts w:eastAsia="宋体"/>
                <w:color w:val="auto"/>
                <w:highlight w:val="none"/>
                <w:lang w:val="en-US" w:eastAsia="zh-CN" w:bidi="ar"/>
              </w:rPr>
              <w:t>18-102</w:t>
            </w:r>
            <w:r>
              <w:rPr>
                <w:rStyle w:val="43"/>
                <w:color w:val="auto"/>
                <w:highlight w:val="none"/>
                <w:lang w:val="en-US" w:eastAsia="zh-CN" w:bidi="ar"/>
              </w:rPr>
              <w:t>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曹娥街道舜杰社区避灾安置点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曹娥街道舜杰路</w:t>
            </w:r>
            <w:r>
              <w:rPr>
                <w:rStyle w:val="44"/>
                <w:rFonts w:eastAsia="宋体"/>
                <w:color w:val="auto"/>
                <w:highlight w:val="none"/>
                <w:lang w:val="en-US" w:eastAsia="zh-CN" w:bidi="ar"/>
              </w:rPr>
              <w:t>590</w:t>
            </w:r>
            <w:r>
              <w:rPr>
                <w:rStyle w:val="43"/>
                <w:color w:val="auto"/>
                <w:highlight w:val="none"/>
                <w:lang w:val="en-US" w:eastAsia="zh-CN" w:bidi="ar"/>
              </w:rPr>
              <w:t>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曹娥街道漳汀村避灾安置点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曹娥街道漳汀村村委大楼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曹娥街道振兴社区避灾安置点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振兴新村18幢103室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103</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曹娥街道新建庄村避灾安置点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曹娥街道新建庄村东一路旁</w:t>
            </w:r>
            <w:r>
              <w:rPr>
                <w:rStyle w:val="44"/>
                <w:rFonts w:eastAsia="宋体"/>
                <w:color w:val="auto"/>
                <w:highlight w:val="none"/>
                <w:lang w:val="en-US" w:eastAsia="zh-CN" w:bidi="ar"/>
              </w:rPr>
              <w:br w:type="textWrapping"/>
            </w:r>
            <w:r>
              <w:rPr>
                <w:rStyle w:val="43"/>
                <w:color w:val="auto"/>
                <w:highlight w:val="none"/>
                <w:lang w:val="en-US" w:eastAsia="zh-CN" w:bidi="ar"/>
              </w:rPr>
              <w:t>新建庄老村委一楼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曹娥街道德济苑避灾安置点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曹娥街道德济苑社区文化活动中心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曹娥街道大厂居委避灾安置点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大厂居委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曹娥街道朱山头村避灾安置点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朱山头村党群服务中心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曹娥街道沥泗村避灾安置点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沥泗村委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曹娥街道白米堰居委避灾安置点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白米堰居委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曹娥街道外五甲村避灾安置点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外五甲村委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曹娥街道丽樟村避灾安置点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丽樟村委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曹娥街道金村村避灾安置点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金村村委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曹娥街道银河社区避灾安置点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银河社区居民委员会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曹娥街道大三角社区避灾安置点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大三角社区居民委员会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曹娥街道滨江小学避灾安置点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滨江小学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曹娥街道红星村避灾安置点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红星村村委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曹娥街道国庆村避灾安置点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国庆村村民委员会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东关街道建东西路</w:t>
            </w:r>
            <w:r>
              <w:rPr>
                <w:rStyle w:val="44"/>
                <w:rFonts w:eastAsia="宋体"/>
                <w:color w:val="auto"/>
                <w:highlight w:val="none"/>
                <w:lang w:val="en-US" w:eastAsia="zh-CN" w:bidi="ar"/>
              </w:rPr>
              <w:t>86</w:t>
            </w:r>
            <w:r>
              <w:rPr>
                <w:rStyle w:val="43"/>
                <w:color w:val="auto"/>
                <w:highlight w:val="none"/>
                <w:lang w:val="en-US" w:eastAsia="zh-CN" w:bidi="ar"/>
              </w:rPr>
              <w:t>号竺可桢中学内</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东关街道保驾山村避灾安置点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保驾山村委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49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东关街道联星村避灾安置点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联星村村委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东关街道马家桥村避灾安置点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马家桥村村委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东关街道新丰村避灾安置点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新丰村村委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东关街道大西庄村避灾安置点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大西庄村村委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东关街道高泾村避灾安置点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高泾村村委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东关街道马山村避灾安置点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马山村村委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东关街道凌江村避灾安置点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凌江村村委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东关街道金鸡山避灾安置点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金鸡山村委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东关街道担山村避灾安置点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东关街道担山村文体活动中心内</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东关街道彭家堰村避灾安置点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东关街道彭家堰村幸福之家</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59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东关街道金鸡山村避灾安置点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金鸡山村党群服务中心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东关街道东塘村避灾安置点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东塘村村委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道墟街道王打桥敬老院</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道墟街道东桑村避灾安置点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道墟镇东桑村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道墟街道庙桥村避灾安置点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道墟镇庙桥村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125</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道墟街道云里村避灾安置点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道墟镇云里村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道墟街道五四村避灾安置点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道墟镇五四村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道墟街道大湖村避灾安置点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道墟镇大湖村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125</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道墟街道联浦村避灾安置点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道墟镇联浦村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道墟街道新民主村避灾安置点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道墟镇新民主村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182</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69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道墟街道新里港村避灾安置点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道墟镇新里港村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道墟街道积山村避灾安置点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道墟镇积山村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道墟街道新屯南村避灾安置点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道墟镇新屯南村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道墟街道江协村避灾安置点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道墟镇江协村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137</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道墟街道中联村避灾安置点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道墟镇中联村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道墟街道汇联村避灾安置点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道墟镇汇联村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道墟街道称海村避灾安置点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称海村办公楼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道墟街道肖金村避灾安置点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道墟街道肖金村委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道墟街道杜浦村避灾安置点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道墟街道杜浦村官塘外（原杜浦小学）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道墟街道联江村避灾安置点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道墟街道联江村文化礼堂内</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79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道墟街道韩浜村避灾安置点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道墟街道韩浜村老年活动室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道墟街道钱上村避灾安置点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钱上村原老年活动室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道墟街道沽渚村避灾安置点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沽渚村老年活动室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小越街道初级中学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小越街道边墩村避灾安置点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边墩村公共服务中心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210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小越街道岭南村避灾安置点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岭南村家宴中心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小越街道越北村避灾安置点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越北村公共服务中心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小越街道西罗村避灾安置点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西罗村公共服务中心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小越街道赵巷桥村避灾安置点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赵巷桥村公共服务中心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330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小越街道孔家岙村避灾安置点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孔家岙村公共服务中心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89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小越街道田家村避灾安置点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田家村公共服务中心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小越街道幸福村避灾安置点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幸福村公共服务中心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小越街道峧里村避灾安置点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峧里村公共服务中心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小越街道胜桥村避灾安置点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胜桥村公共服务中心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小越街道吴山村避灾安置点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吴山村公共服务中心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小越街道小越村避灾安置点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小越村村公共服务中心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小越街道新兴村避灾安置点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新兴村公共服务中心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290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小越街道新宅村避灾安置点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新宅村家宴中心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小越街道倪梁村避灾安置点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小越街道倪梁村村民委员会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小越街道罗家村避灾安置点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小越街道罗家村党群服务中心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99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小越街道冯柯山村避灾安置点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小越街道冯柯山村党建服务中心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小越街道小越湖村避灾安置点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小越街道小越湖村村民委员会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小越街道朱家滩村避灾安置点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小越街道朱家滩村公共服务中心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小越街道越兴社区避灾安置点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越兴社区公共服务中心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梁湖街道中心小学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梁湖街道皂李湖村避灾安置点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梁湖街道皂李湖村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梁湖街道西华瑶村避灾安置点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梁湖街道西华瑶村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梁湖街道玩石村避灾安置点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梁湖街道玩石村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梁湖街道拗花山村避灾安置点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梁湖街道拗花山村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梁湖街道外梁湖村避灾安置点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梁湖街道外梁湖村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109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梁湖街道华东居委避灾安置点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梁湖街道华东村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夏丏尊小学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崧厦寺前村避灾安置点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寺前村党群服务中心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84</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崧厦庙川村避灾安置点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庙川村家宴中心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崧厦前庄村避灾安置点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前庄村党群服务中心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崧厦新光村避灾安置点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新光村党群服务中心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崧厦三友村避灾安置点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三友村党群服务中心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崧厦西华村避灾安置点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西华村老年活动中心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崧厦杭郭村避灾安置点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杭郭村老年活动中心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崧厦黄家堰村避灾安置点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黄家堰村党群服务中心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119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崧厦章家村避灾安置点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章家村老年活动中心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崧厦陆家村避灾安置点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陆家村老年活动中心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崧厦时华村避灾安置点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时华村老年活动中心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崧厦丁泽村避灾安置点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丁泽村党群服务中心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崧厦任谢村避灾安置点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任谢村党群服务中心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崧厦港联村避灾安置点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港联村党群服务中心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崧厦勤联村避灾安置点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勤联村老年活动中心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崧厦舜源村避灾安置点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舜源村党群服务中心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崧厦联海村避灾安置点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联海村老年活动中心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崧厦金中村避灾安置点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金中村老年活动中心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129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崧厦联塘村避灾安置点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联塘村老年活动中心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崧厦祝温村避灾安置点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祝温村家宴中心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崧厦双埠村避灾安置点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双埠村老年活动中心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崧厦章黎村避灾安置点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章黎村党群服务中心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崧厦东凌湖村避灾安置点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东凌湖村党群服务中心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崧厦严巷头村避灾安置点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严巷头村老年活动中心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崧厦雀嘴村避灾安置点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雀嘴村党群服务中心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崧厦新下湖村避灾安置点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新下湖村党群服务中心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崧厦蔡林村避灾安置点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蔡林村文化礼堂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崧厦吕家埠村避灾安置点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吕家埠村党群服务中心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139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崧厦潘韩村避灾安置点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潘韩村党群服务中心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崧厦联胜村避灾安置点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联胜村老年活动中心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崧厦福海村避灾安置点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福海村老年活动中心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崧厦杨凌湖村避灾安置点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杨凌湖村党群服务中心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崧厦东上湖村避灾安置点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东上湖村老年活动中心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崧厦万湖村避灾安置点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万湖村党群服务中心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崧厦共何村避灾安置点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共何村党群服务中心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崧厦三华村避灾安置点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三华村村委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崧厦街道</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崧厦内五甲村避灾安置点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内五甲村老年活动中心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章镇镇泰山村朱光井城头章镇镇敬老院</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149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章镇镇新区村避灾安置点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章镇新区村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章镇镇中兴村避灾安置点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中兴村林岙原加工厂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章镇镇章家埠村避灾安置点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章家埠村办公楼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章镇镇灵运村避灾安置点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灵运村公共服务中心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章镇镇湾头村避灾安置点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湾头村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章镇镇龙江村避灾安置点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龙江村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章镇镇大钱村避灾安置点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大钱村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章镇镇新三联村避灾安置点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新三联村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章镇镇清潭村避灾安置点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清潭村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章镇镇陈墩村避灾安置点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陈墩村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159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章镇镇河浮村避灾安置点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章镇镇河浮村村委会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章镇镇新魏家庄村避灾安置点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章镇镇新魏家庄村村委会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章镇镇新南村村委会</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章镇镇新江村村委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章镇镇笕桥村避灾安置点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章镇镇笕桥村原笕桥小学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章镇镇张村村避灾安置点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章镇镇张村村家宴中心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章镇镇镇南村避灾安置点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章镇镇镇南村党群服务中心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章镇镇龙马村避灾安置点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章镇镇龙马村党群服务中心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章镇镇大勤村避灾安置点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章镇镇大勤村党群服务中心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章镇镇龙浦村避灾安置点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章镇镇龙浦村原党群服务中心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169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章镇镇泰山村避灾安置点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章镇镇泰山村党群服务中心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章镇镇任叶村避灾安置点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章镇镇任叶村党群服务中心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秀峰村避灾安置点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秀峰村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章镇镇陈埠村避灾安置点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陈埠村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章镇镇越星村避灾安置点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越星村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章镇镇建设村避灾安置点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建设村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章镇镇秀峰村避灾安置点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秀峰村党群服务中心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丰惠镇养老院</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11000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丰惠镇西湖村避灾安置点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丰惠镇西湖村郑家保</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丰惠镇西南门村避灾安置点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西南门村村委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179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丰惠镇谢桥村避灾安置点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丰惠镇谢桥村永丰公路18号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丰惠镇东光村避灾安置点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丰惠镇光村村委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丰惠镇南门村避灾安置点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丰惠镇南门村村委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丰惠镇南源村避灾安置点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丰惠镇南源村村委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586</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丰惠镇渔门村避灾安置点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丰惠镇渔门村金家皂梁路8号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232</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丰惠镇盛茂村避灾安置点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丰惠镇盛茂村任岙128号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304</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丰惠镇双溪村避灾安置点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丰惠村双溪村桥下138号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410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丰惠镇西郊村避灾安置点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丰惠镇西郊村吴弄130号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336</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丰惠镇后山村避灾安置点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丰惠镇后山村创业路18号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丰惠镇虞东村避灾安置点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丰惠镇虞东村湖云头新村18号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630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189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丰惠镇祝家庄村避灾安置点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丰惠镇祝家庄村祝家路7号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丰惠镇丰南村避灾安置点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丰惠镇丰南村百东外堡110号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丰惠镇虞光村避灾安置点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丰惠镇虞光村谢马公路19号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丰惠镇通明村避灾安置点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丰惠镇通明村村委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638</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丰惠镇凤鸣村避灾安置点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丰惠镇凤鸣村办公楼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丰惠镇五云村避灾安置点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丰惠镇五云村村委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丰惠镇东门社区避灾安置点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丰惠镇东大街</w:t>
            </w:r>
            <w:r>
              <w:rPr>
                <w:rStyle w:val="44"/>
                <w:rFonts w:eastAsia="宋体"/>
                <w:color w:val="auto"/>
                <w:highlight w:val="none"/>
                <w:lang w:val="en-US" w:eastAsia="zh-CN" w:bidi="ar"/>
              </w:rPr>
              <w:t>1</w:t>
            </w:r>
            <w:r>
              <w:rPr>
                <w:rStyle w:val="43"/>
                <w:color w:val="auto"/>
                <w:highlight w:val="none"/>
                <w:lang w:val="en-US" w:eastAsia="zh-CN" w:bidi="ar"/>
              </w:rPr>
              <w:t>号东门社区党群服务中心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丰惠镇三溪村避灾安置点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丰惠镇大普路三溪村党群服务中心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丰惠镇永庆村避灾安置点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丰惠镇永庆村丰三公路边永庆村党群服务中心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丰惠镇夹塘村避灾安置点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丰惠镇夹塘村村前路</w:t>
            </w:r>
            <w:r>
              <w:rPr>
                <w:rStyle w:val="44"/>
                <w:rFonts w:eastAsia="宋体"/>
                <w:color w:val="auto"/>
                <w:highlight w:val="none"/>
                <w:lang w:val="en-US" w:eastAsia="zh-CN" w:bidi="ar"/>
              </w:rPr>
              <w:t>1</w:t>
            </w:r>
            <w:r>
              <w:rPr>
                <w:rStyle w:val="43"/>
                <w:color w:val="auto"/>
                <w:highlight w:val="none"/>
                <w:lang w:val="en-US" w:eastAsia="zh-CN" w:bidi="ar"/>
              </w:rPr>
              <w:t>号夹塘村文化礼堂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199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丰惠镇夏王村避灾安置点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丰惠镇夏王村东黄</w:t>
            </w:r>
            <w:r>
              <w:rPr>
                <w:rStyle w:val="44"/>
                <w:rFonts w:eastAsia="宋体"/>
                <w:color w:val="auto"/>
                <w:highlight w:val="none"/>
                <w:lang w:val="en-US" w:eastAsia="zh-CN" w:bidi="ar"/>
              </w:rPr>
              <w:t>1</w:t>
            </w:r>
            <w:r>
              <w:rPr>
                <w:rStyle w:val="43"/>
                <w:color w:val="auto"/>
                <w:highlight w:val="none"/>
                <w:lang w:val="en-US" w:eastAsia="zh-CN" w:bidi="ar"/>
              </w:rPr>
              <w:t>号</w:t>
            </w:r>
            <w:r>
              <w:rPr>
                <w:rStyle w:val="44"/>
                <w:rFonts w:eastAsia="宋体"/>
                <w:color w:val="auto"/>
                <w:highlight w:val="none"/>
                <w:lang w:val="en-US" w:eastAsia="zh-CN" w:bidi="ar"/>
              </w:rPr>
              <w:t xml:space="preserve"> </w:t>
            </w:r>
            <w:r>
              <w:rPr>
                <w:rStyle w:val="43"/>
                <w:color w:val="auto"/>
                <w:highlight w:val="none"/>
                <w:lang w:val="en-US" w:eastAsia="zh-CN" w:bidi="ar"/>
              </w:rPr>
              <w:t>夏王村党群服务中心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上浦镇中学校体育馆</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上浦镇夏家埠村避灾安置点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夏家埠村办公大楼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86</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上浦镇大善小坞村避灾安置点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大善小坞村办公大楼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上浦镇上浦村避灾安置点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上浦镇老年活动中心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90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上浦镇昆岙村避灾安置点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昆岙村办公大楼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上浦镇冯浦村避灾安置点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冯浦村办公大楼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上浦镇东山村避灾安置点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上浦敬老院</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90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上浦镇渔家渡村避灾安置点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渔家渡村办公大楼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上浦镇舜江村避灾安置点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浦沿完小</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209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上浦镇王湖村避灾安置点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王湖村办公大楼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上浦镇九连村避灾避灾安置点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上浦镇九连村办公大楼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上浦镇四峰村避灾安置点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上浦镇四峰村办公大楼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上浦镇梅坞村避灾安置点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上浦镇梅坞村办公大楼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140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上浦镇戚山村避灾安置点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上浦镇戚山村办公大楼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绍兴市上虞区汤浦镇小学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汤浦镇汤浦村避灾安置点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汤浦镇汤浦村（村委办公大楼）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450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汤浦镇舜岸村避灾安置点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汤浦镇舜岸村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汤浦镇汤霞里避灾安置点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汤浦镇霞里村四合一办公楼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汤浦镇长山新村村避灾点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汤浦镇长山新村（村老年活动室）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676</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219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汤浦镇鹤湖村避灾安置点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汤浦镇鹤湖村（村委办公楼）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汤浦镇霞越村避灾安置点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汤浦镇霞越村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汤浦镇达郭村避灾安置点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汤浦镇达郭村（村委办公楼）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1070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永和镇中心学校</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永和镇大墩村避灾安置点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大墩村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永和镇朱巷村避灾安置点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永和镇朱巷村文化礼堂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永和镇安家渡村避灾安置点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永和镇安家渡村委办公室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永和镇青峰村避灾安置点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永和镇青峰村公共服务中心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永和镇新岙村避灾安置点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永和镇新岙村委办公室</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永和镇项家桥村避灾安置点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永和镇项家桥村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229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永和镇永和村避灾安置点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永和镇项家桥</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永和镇三桥村避灾安置点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永和镇三桥村文化礼堂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驿亭镇驿亭镇中学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驿亭镇杨溪村避灾安置点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驿亭镇杨溪村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驿亭镇白马湖村避灾安置点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驿亭镇白马湖村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驿亭镇春晖村避灾点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驿亭镇春晖村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驿亭镇西陡门村避灾点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驿亭镇西陡门村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驿亭镇袍江村避灾安置点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驿亭镇袍江村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驿亭镇马慢桥村避灾安置点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驿亭镇马慢桥村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驿亭镇新横塘村避灾安置点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驿亭镇新横塘村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239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驿亭镇鲁溪闸村避灾安置点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驿亭镇鲁溪闸村党群服务中心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驿亭镇五洲村避灾安置点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驿亭镇五洲村党群服务中心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驿亭镇贾家村避灾安置点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驿亭镇贾家村党群服务中心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驿亭镇杨梅村避灾安置点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驿亭镇杨梅村党群服务中心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谢塘镇陈留路</w:t>
            </w:r>
            <w:r>
              <w:rPr>
                <w:rStyle w:val="44"/>
                <w:rFonts w:eastAsia="宋体"/>
                <w:color w:val="auto"/>
                <w:highlight w:val="none"/>
                <w:lang w:val="en-US" w:eastAsia="zh-CN" w:bidi="ar"/>
              </w:rPr>
              <w:t>1</w:t>
            </w:r>
            <w:r>
              <w:rPr>
                <w:rStyle w:val="43"/>
                <w:color w:val="auto"/>
                <w:highlight w:val="none"/>
                <w:lang w:val="en-US" w:eastAsia="zh-CN" w:bidi="ar"/>
              </w:rPr>
              <w:t>号谢塘镇中学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谢塘镇岑仓村避灾安置点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岑仓村公共服务中心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谢塘镇晋生村避灾安置点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晋生村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谢塘镇东联村避灾安置点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东联村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谢塘镇谢家塘村避灾安置点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谢家塘村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谢塘镇建塘村避灾安置点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建塘村 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175</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249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谢塘镇东闸村避灾安置点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谢塘镇东闸村委办公大楼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谢塘镇新戴家社区避灾安置点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谢塘镇新戴家社区办公大楼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谢塘镇东升村避灾安置点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谢塘镇东升村办公大楼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谢塘镇星明村避灾安置点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谢塘镇星明村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谢塘镇铲还湖村避灾安置点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铲还湖村办公楼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谢塘镇丰园村避灾安置点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丰园村办公楼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谢塘镇联民村避灾安置点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联民村办公楼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谢塘镇新戴家村避灾安置点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谢塘镇新戴家村党群服务中心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谢塘镇禹峰村避灾安置点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禹峰村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谢塘镇新章村避灾安置点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新章村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259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盖北镇避灾中心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盖北镇中学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盖北镇新河村避灾安置点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新河村公共服务中心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7500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盖北镇兴海村避灾安置点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兴海村公共服务中心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1230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盖北镇世海村避灾安置点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盖北镇世海村村委会综合楼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盖北镇镇东村避灾安置点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盖北镇镇东村村委会综合楼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盖北镇镇海村避灾安置点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盖北镇镇海村村委会综合楼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盖北镇珠海村避灾安置点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盖北镇珠海村棉粮小学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盖北镇联合村避灾安置点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盖北镇联合村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1623</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盖北镇丰棉村避灾安置点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盖北镇丰棉村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盖北镇夏盖山村避灾点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夏盖山村办公楼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269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盖北镇丰富村避灾安置点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盖北镇丰富村党群服务中心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长塘镇长塘村塘里下道地99号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5314</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长塘镇桃园村避灾安置点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长塘镇桃园村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长塘镇谢憩村避灾安置点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长塘镇谢憩村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长塘镇长塘村避灾安置点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长塘镇长塘村86号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3492</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长塘镇会篁村避灾安置点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长塘镇会篁村篁村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1308</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长塘镇广陵村避灾安置点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长塘镇广陵村大堡14号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岭南乡中心学校</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岭南乡许岙村避灾安置点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许岙村公共服务中心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岭南乡青山村避灾安置点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青山村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279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岭南乡立功村避灾安置点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岭南乡立功村230号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240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岭南乡覆卮村避灾安置点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岭南乡覆卮村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岭南乡丰树坪村避灾安置点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岭南乡丰树坪村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岭南乡东澄村避灾安置点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岭南乡东澄村梁宅村委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岭南乡泰岳村避灾安置点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岭南乡泰岳村村委一楼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岭南乡龙山村避灾安置点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岭南乡龙山村村委办公室二楼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120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陈溪乡中心小学</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陈溪乡陈溪村避灾安置点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陈溪乡陈溪村村委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陈溪乡虹溪村避灾安置点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陈溪乡虹溪村村委</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陈溪乡太平山村避灾安置点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陈溪乡太平山村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289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陈溪乡塔溪村避灾安置点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陈溪乡塔溪村办公楼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陈溪乡小陈岙村避灾安置点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陈溪乡小陈岙村办公楼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陈溪乡干溪村避灾安置点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陈溪乡干溪村办公楼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陈家岙避灾安置点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陈溪乡陈家岙文化礼堂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陈溪乡夏家岙村避灾安置点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eastAsia" w:ascii="宋体" w:hAnsi="宋体" w:eastAsia="宋体" w:cs="宋体"/>
                <w:i w:val="0"/>
                <w:color w:val="auto"/>
                <w:kern w:val="0"/>
                <w:sz w:val="22"/>
                <w:szCs w:val="22"/>
                <w:highlight w:val="none"/>
                <w:u w:val="none"/>
                <w:lang w:val="en-US" w:eastAsia="zh-CN" w:bidi="ar"/>
              </w:rPr>
              <w:t>陈溪乡夏家岙村文化礼堂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下管镇避灾安置中心</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Style w:val="43"/>
                <w:color w:val="auto"/>
                <w:highlight w:val="none"/>
                <w:lang w:val="en-US" w:eastAsia="zh-CN" w:bidi="ar"/>
              </w:rPr>
              <w:t>下管镇人民路</w:t>
            </w:r>
            <w:r>
              <w:rPr>
                <w:rStyle w:val="44"/>
                <w:rFonts w:eastAsia="宋体"/>
                <w:color w:val="auto"/>
                <w:highlight w:val="none"/>
                <w:lang w:val="en-US" w:eastAsia="zh-CN" w:bidi="ar"/>
              </w:rPr>
              <w:t>1</w:t>
            </w:r>
            <w:r>
              <w:rPr>
                <w:rStyle w:val="43"/>
                <w:color w:val="auto"/>
                <w:highlight w:val="none"/>
                <w:lang w:val="en-US" w:eastAsia="zh-CN" w:bidi="ar"/>
              </w:rPr>
              <w:t>号</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下管镇振新村避灾安置点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振新村委二楼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下管镇联新桥村避灾安置点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党群服务中心三楼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下管镇洙凤村避灾安置点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洙凤村文化礼堂内</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下管镇芦山村避灾安置点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芦山村文化礼堂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299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下管镇新庄村避灾安置点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新庄村塘弄自然村农民公寓</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下管镇东里村避灾安置点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东里村文化礼堂</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220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下管镇兴南村避灾安置点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兴南村委办公楼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下管镇新民村避灾安置点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新民村村委办公楼</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100</w:t>
            </w:r>
          </w:p>
        </w:tc>
      </w:tr>
      <w:tr>
        <w:tblPrEx>
          <w:tblCellMar>
            <w:top w:w="0" w:type="dxa"/>
            <w:left w:w="0" w:type="dxa"/>
            <w:bottom w:w="0" w:type="dxa"/>
            <w:right w:w="0"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下管镇前溪岙村避灾安置点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前溪岙村上前自然村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180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304</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丁宅乡避灾中心安置点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丁宅乡学校</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305</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丁宅乡丁宅村避灾安置点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350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306</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丁宅乡上宅村避灾安置点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上宅村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307</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丁宅乡下宅村避灾安置点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下宅村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308</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丁宅乡缸岙村避灾安置点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丁宅乡缸岙村服务中心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450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309</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丁宅乡新任溪村避灾安置点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丁宅乡新任溪村服务中心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310</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丁宅乡双桥村避灾安置点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丁宅乡双桥村村服务中心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660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311</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丁宅乡华丰村避灾安置点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丁宅乡华丰村服务中心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460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312</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丁宅乡庙湾村避灾安置点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丁宅乡庙湾村服务中心</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200</w:t>
            </w:r>
          </w:p>
        </w:tc>
      </w:tr>
      <w:tr>
        <w:tblPrEx>
          <w:tblCellMar>
            <w:top w:w="0" w:type="dxa"/>
            <w:left w:w="0" w:type="dxa"/>
            <w:bottom w:w="0" w:type="dxa"/>
            <w:right w:w="0" w:type="dxa"/>
          </w:tblCellMar>
        </w:tblPrEx>
        <w:trPr>
          <w:trHeight w:val="319" w:hRule="atLeast"/>
          <w:jc w:val="center"/>
        </w:trPr>
        <w:tc>
          <w:tcPr>
            <w:tcW w:w="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4"/>
                <w:highlight w:val="none"/>
              </w:rPr>
            </w:pPr>
            <w:r>
              <w:rPr>
                <w:rFonts w:hint="eastAsia" w:ascii="宋体" w:hAnsi="宋体" w:cs="宋体"/>
                <w:color w:val="auto"/>
                <w:kern w:val="0"/>
                <w:sz w:val="24"/>
                <w:highlight w:val="none"/>
                <w:lang w:bidi="ar"/>
              </w:rPr>
              <w:t>313</w:t>
            </w:r>
          </w:p>
        </w:tc>
        <w:tc>
          <w:tcPr>
            <w:tcW w:w="10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w:t>
            </w:r>
          </w:p>
        </w:tc>
        <w:tc>
          <w:tcPr>
            <w:tcW w:w="33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丁宅乡深湾村避灾安置点</w:t>
            </w:r>
          </w:p>
        </w:tc>
        <w:tc>
          <w:tcPr>
            <w:tcW w:w="36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丁宅乡深湾村</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color w:val="auto"/>
                <w:sz w:val="24"/>
                <w:highlight w:val="none"/>
              </w:rPr>
            </w:pPr>
            <w:r>
              <w:rPr>
                <w:rFonts w:hint="default" w:ascii="Calibri" w:hAnsi="Calibri" w:eastAsia="宋体" w:cs="Calibri"/>
                <w:i w:val="0"/>
                <w:color w:val="auto"/>
                <w:kern w:val="0"/>
                <w:sz w:val="22"/>
                <w:szCs w:val="22"/>
                <w:highlight w:val="none"/>
                <w:u w:val="none"/>
                <w:lang w:val="en-US" w:eastAsia="zh-CN" w:bidi="ar"/>
              </w:rPr>
              <w:t>400</w:t>
            </w:r>
          </w:p>
        </w:tc>
      </w:tr>
      <w:tr>
        <w:tblPrEx>
          <w:tblCellMar>
            <w:top w:w="0" w:type="dxa"/>
            <w:left w:w="0" w:type="dxa"/>
            <w:bottom w:w="0" w:type="dxa"/>
            <w:right w:w="0" w:type="dxa"/>
          </w:tblCellMar>
        </w:tblPrEx>
        <w:trPr>
          <w:trHeight w:val="285" w:hRule="atLeast"/>
          <w:jc w:val="center"/>
        </w:trPr>
        <w:tc>
          <w:tcPr>
            <w:tcW w:w="8745"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kern w:val="0"/>
                <w:sz w:val="24"/>
                <w:highlight w:val="none"/>
                <w:lang w:bidi="ar"/>
              </w:rPr>
            </w:pPr>
            <w:r>
              <w:rPr>
                <w:rFonts w:hint="eastAsia" w:ascii="宋体" w:hAnsi="宋体" w:cs="宋体"/>
                <w:color w:val="auto"/>
                <w:kern w:val="0"/>
                <w:sz w:val="24"/>
                <w:highlight w:val="none"/>
                <w:lang w:bidi="ar"/>
              </w:rPr>
              <w:t>合计</w:t>
            </w: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hAnsi="宋体" w:eastAsia="宋体" w:cs="宋体"/>
                <w:color w:val="auto"/>
                <w:kern w:val="0"/>
                <w:sz w:val="24"/>
                <w:highlight w:val="none"/>
                <w:lang w:val="en-US" w:eastAsia="zh-CN" w:bidi="ar"/>
              </w:rPr>
            </w:pPr>
            <w:r>
              <w:rPr>
                <w:rFonts w:hint="eastAsia" w:ascii="宋体" w:hAnsi="宋体" w:cs="宋体"/>
                <w:color w:val="auto"/>
                <w:kern w:val="0"/>
                <w:sz w:val="24"/>
                <w:highlight w:val="none"/>
                <w:lang w:val="en-US" w:eastAsia="zh-CN" w:bidi="ar"/>
              </w:rPr>
              <w:t>152010</w:t>
            </w:r>
          </w:p>
        </w:tc>
      </w:tr>
    </w:tbl>
    <w:p>
      <w:pPr>
        <w:spacing w:line="420" w:lineRule="exact"/>
        <w:ind w:firstLine="482" w:firstLineChars="200"/>
        <w:rPr>
          <w:rFonts w:hint="eastAsia" w:ascii="宋体" w:hAnsi="宋体"/>
          <w:b/>
          <w:bCs/>
          <w:color w:val="auto"/>
          <w:sz w:val="24"/>
          <w:highlight w:val="none"/>
        </w:rPr>
      </w:pPr>
      <w:r>
        <w:rPr>
          <w:rFonts w:hint="eastAsia" w:ascii="宋体" w:hAnsi="宋体"/>
          <w:b/>
          <w:bCs/>
          <w:color w:val="auto"/>
          <w:sz w:val="24"/>
          <w:highlight w:val="none"/>
        </w:rPr>
        <w:t>（四）项目要求</w:t>
      </w:r>
    </w:p>
    <w:p>
      <w:pPr>
        <w:spacing w:line="400" w:lineRule="exact"/>
        <w:ind w:firstLine="480" w:firstLineChars="200"/>
        <w:rPr>
          <w:rFonts w:hint="eastAsia" w:ascii="宋体" w:hAnsi="宋体"/>
          <w:color w:val="auto"/>
          <w:sz w:val="24"/>
          <w:highlight w:val="none"/>
        </w:rPr>
      </w:pPr>
      <w:r>
        <w:rPr>
          <w:rFonts w:hint="eastAsia" w:ascii="宋体" w:hAnsi="宋体" w:cs="宋体"/>
          <w:color w:val="auto"/>
          <w:sz w:val="24"/>
          <w:highlight w:val="none"/>
        </w:rPr>
        <w:t>★</w:t>
      </w:r>
      <w:r>
        <w:rPr>
          <w:rFonts w:hint="eastAsia" w:ascii="宋体" w:hAnsi="宋体"/>
          <w:color w:val="auto"/>
          <w:sz w:val="24"/>
          <w:highlight w:val="none"/>
        </w:rPr>
        <w:t>1﹚项目拟投入团队：投标单位须安排至少1名注册结构</w:t>
      </w:r>
      <w:r>
        <w:rPr>
          <w:rFonts w:hint="eastAsia" w:ascii="宋体" w:hAnsi="宋体"/>
          <w:color w:val="auto"/>
          <w:sz w:val="24"/>
          <w:highlight w:val="none"/>
          <w:lang w:val="en-US" w:eastAsia="zh-CN"/>
        </w:rPr>
        <w:t>工程</w:t>
      </w:r>
      <w:r>
        <w:rPr>
          <w:rFonts w:hint="eastAsia" w:ascii="宋体" w:hAnsi="宋体"/>
          <w:color w:val="auto"/>
          <w:sz w:val="24"/>
          <w:highlight w:val="none"/>
        </w:rPr>
        <w:t>师，其余项目组成人员均须具有工程相关专业助理工程师及以上职称，且项目负责人须具有结构工程相关专业技术职称承担本项工作至项目结束；</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）住房安全检测专业机构检测后需出具</w:t>
      </w:r>
      <w:r>
        <w:rPr>
          <w:rFonts w:hint="eastAsia" w:ascii="宋体" w:hAnsi="宋体"/>
          <w:color w:val="auto"/>
          <w:sz w:val="24"/>
          <w:highlight w:val="none"/>
          <w:lang w:val="en-US" w:eastAsia="zh-CN"/>
        </w:rPr>
        <w:t>鉴定</w:t>
      </w:r>
      <w:r>
        <w:rPr>
          <w:rFonts w:hint="eastAsia" w:ascii="宋体" w:hAnsi="宋体"/>
          <w:color w:val="auto"/>
          <w:sz w:val="24"/>
          <w:highlight w:val="none"/>
        </w:rPr>
        <w:t>检测报告，并由持有注册结构师证书的技术人员在检测报告上签字确认。</w:t>
      </w:r>
    </w:p>
    <w:p>
      <w:pPr>
        <w:spacing w:line="400" w:lineRule="exact"/>
        <w:ind w:left="420" w:leftChars="20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）本项目需在合同签订后</w:t>
      </w:r>
      <w:r>
        <w:rPr>
          <w:rFonts w:hint="eastAsia" w:ascii="宋体" w:hAnsi="宋体"/>
          <w:color w:val="auto"/>
          <w:sz w:val="24"/>
          <w:highlight w:val="none"/>
          <w:lang w:val="en-US" w:eastAsia="zh-CN"/>
        </w:rPr>
        <w:t>50天</w:t>
      </w:r>
      <w:r>
        <w:rPr>
          <w:rFonts w:hint="eastAsia" w:ascii="宋体" w:hAnsi="宋体"/>
          <w:color w:val="auto"/>
          <w:sz w:val="24"/>
          <w:highlight w:val="none"/>
        </w:rPr>
        <w:t>内完成。</w:t>
      </w:r>
    </w:p>
    <w:p>
      <w:pPr>
        <w:spacing w:line="400" w:lineRule="exact"/>
        <w:ind w:left="420" w:leftChars="200"/>
        <w:rPr>
          <w:rFonts w:hint="eastAsia" w:ascii="宋体" w:hAnsi="宋体" w:cs="宋体"/>
          <w:b/>
          <w:bCs/>
          <w:color w:val="auto"/>
          <w:sz w:val="24"/>
          <w:highlight w:val="none"/>
        </w:rPr>
      </w:pPr>
      <w:r>
        <w:rPr>
          <w:rFonts w:hint="eastAsia" w:ascii="宋体" w:hAnsi="宋体" w:cs="宋体"/>
          <w:b/>
          <w:bCs/>
          <w:color w:val="auto"/>
          <w:sz w:val="24"/>
          <w:highlight w:val="none"/>
        </w:rPr>
        <w:t>★为实质性响应条款，如不满足将被视为无效投标！</w:t>
      </w:r>
    </w:p>
    <w:p>
      <w:pPr>
        <w:spacing w:line="400" w:lineRule="exact"/>
        <w:ind w:left="420" w:leftChars="200"/>
        <w:rPr>
          <w:rFonts w:hint="eastAsia" w:ascii="宋体" w:hAnsi="宋体"/>
          <w:b/>
          <w:bCs/>
          <w:color w:val="auto"/>
          <w:sz w:val="24"/>
          <w:highlight w:val="none"/>
        </w:rPr>
      </w:pPr>
      <w:r>
        <w:rPr>
          <w:rFonts w:hint="eastAsia" w:ascii="宋体" w:hAnsi="宋体"/>
          <w:b/>
          <w:bCs/>
          <w:color w:val="auto"/>
          <w:sz w:val="24"/>
          <w:highlight w:val="none"/>
        </w:rPr>
        <w:t>（五）项目内容</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中标单位负责现场</w:t>
      </w:r>
      <w:r>
        <w:rPr>
          <w:rFonts w:hint="eastAsia" w:ascii="宋体" w:hAnsi="宋体"/>
          <w:color w:val="auto"/>
          <w:sz w:val="24"/>
          <w:highlight w:val="none"/>
          <w:lang w:val="en-US" w:eastAsia="zh-CN"/>
        </w:rPr>
        <w:t>鉴定</w:t>
      </w:r>
      <w:r>
        <w:rPr>
          <w:rFonts w:hint="eastAsia" w:ascii="宋体" w:hAnsi="宋体"/>
          <w:color w:val="auto"/>
          <w:sz w:val="24"/>
          <w:highlight w:val="none"/>
        </w:rPr>
        <w:t>检测及数据处理，保证数据的真实、可靠，并根据国家法律法规等相关规范及标准，结合报告流程，按照技术报告内容出具检测（鉴定）报告，得到采购人审核认可后为合格。若采购人认为观测成果不符合国家法律法规及相关技术规范要求的，应无条件及时修改。</w:t>
      </w:r>
    </w:p>
    <w:p>
      <w:pPr>
        <w:spacing w:line="400" w:lineRule="exact"/>
        <w:ind w:firstLine="482" w:firstLineChars="200"/>
        <w:rPr>
          <w:rFonts w:hint="eastAsia" w:ascii="宋体" w:hAnsi="宋体"/>
          <w:b/>
          <w:bCs/>
          <w:color w:val="auto"/>
          <w:sz w:val="24"/>
          <w:highlight w:val="none"/>
        </w:rPr>
      </w:pPr>
      <w:r>
        <w:rPr>
          <w:rFonts w:hint="eastAsia" w:ascii="宋体" w:hAnsi="宋体"/>
          <w:b/>
          <w:bCs/>
          <w:color w:val="auto"/>
          <w:sz w:val="24"/>
          <w:highlight w:val="none"/>
        </w:rPr>
        <w:t>报告主要内容：</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1、工程概况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2、有关依据</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①本项目的相关技术资料；②相关国家、地方及行业标准；③ 结合立面改造施工图纸及屋面平改坡改造要求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3、现场测绘、调查及检测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①房屋的现场测绘；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②房屋建筑结构现状及使用现状调查；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③结构主体现状调查；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④相关结构构件现场抽样检测情况及结果；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4、结构鉴定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①鉴定方法简介；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②鉴定结果（包括计算分析和措施评价）；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③鉴定结论（含改造前房屋立面改造及屋面平改坡的可行性结论和改造后房屋鉴定结论）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5、结论及建议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①存在的主要问题；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②处理意见；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③其它问题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6、附件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①工程照片；②附图；③避灾安置场所</w:t>
      </w:r>
      <w:r>
        <w:rPr>
          <w:rFonts w:hint="eastAsia" w:ascii="宋体" w:hAnsi="宋体"/>
          <w:color w:val="auto"/>
          <w:sz w:val="24"/>
          <w:highlight w:val="none"/>
          <w:lang w:val="en-US" w:eastAsia="zh-CN"/>
        </w:rPr>
        <w:t>结构检测</w:t>
      </w:r>
      <w:r>
        <w:rPr>
          <w:rFonts w:hint="eastAsia" w:ascii="宋体" w:hAnsi="宋体"/>
          <w:color w:val="auto"/>
          <w:sz w:val="24"/>
          <w:highlight w:val="none"/>
        </w:rPr>
        <w:t xml:space="preserve">；④原始记录等 </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7、 乙方向甲方交付的文件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924"/>
        <w:gridCol w:w="2496"/>
        <w:gridCol w:w="2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093" w:type="dxa"/>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文件名称</w:t>
            </w:r>
          </w:p>
        </w:tc>
        <w:tc>
          <w:tcPr>
            <w:tcW w:w="1995" w:type="dxa"/>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份数</w:t>
            </w:r>
          </w:p>
        </w:tc>
        <w:tc>
          <w:tcPr>
            <w:tcW w:w="2595" w:type="dxa"/>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提交时间</w:t>
            </w:r>
          </w:p>
        </w:tc>
        <w:tc>
          <w:tcPr>
            <w:tcW w:w="2967" w:type="dxa"/>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93" w:type="dxa"/>
            <w:noWrap w:val="0"/>
            <w:vAlign w:val="center"/>
          </w:tcPr>
          <w:p>
            <w:pPr>
              <w:pStyle w:val="4"/>
              <w:spacing w:line="240" w:lineRule="auto"/>
              <w:jc w:val="center"/>
              <w:outlineLvl w:val="0"/>
              <w:rPr>
                <w:rFonts w:hint="eastAsia" w:ascii="宋体" w:hAnsi="宋体"/>
                <w:b w:val="0"/>
                <w:color w:val="auto"/>
                <w:kern w:val="2"/>
                <w:sz w:val="24"/>
                <w:highlight w:val="none"/>
              </w:rPr>
            </w:pPr>
          </w:p>
        </w:tc>
        <w:tc>
          <w:tcPr>
            <w:tcW w:w="1995" w:type="dxa"/>
            <w:noWrap w:val="0"/>
            <w:vAlign w:val="center"/>
          </w:tcPr>
          <w:p>
            <w:pPr>
              <w:widowControl/>
              <w:jc w:val="center"/>
              <w:rPr>
                <w:rFonts w:hint="eastAsia" w:ascii="宋体" w:hAnsi="宋体"/>
                <w:color w:val="auto"/>
                <w:sz w:val="24"/>
                <w:highlight w:val="none"/>
              </w:rPr>
            </w:pPr>
            <w:r>
              <w:rPr>
                <w:rFonts w:hint="eastAsia" w:ascii="宋体" w:hAnsi="宋体"/>
                <w:color w:val="auto"/>
                <w:sz w:val="24"/>
                <w:highlight w:val="none"/>
              </w:rPr>
              <w:t>按采购人要求</w:t>
            </w:r>
          </w:p>
        </w:tc>
        <w:tc>
          <w:tcPr>
            <w:tcW w:w="2595" w:type="dxa"/>
            <w:noWrap w:val="0"/>
            <w:vAlign w:val="center"/>
          </w:tcPr>
          <w:p>
            <w:pPr>
              <w:widowControl/>
              <w:jc w:val="center"/>
              <w:rPr>
                <w:rFonts w:hint="eastAsia" w:ascii="宋体" w:hAnsi="宋体"/>
                <w:color w:val="auto"/>
                <w:sz w:val="24"/>
                <w:highlight w:val="none"/>
              </w:rPr>
            </w:pPr>
            <w:r>
              <w:rPr>
                <w:rFonts w:hint="eastAsia" w:ascii="宋体" w:hAnsi="宋体"/>
                <w:color w:val="auto"/>
                <w:sz w:val="24"/>
                <w:highlight w:val="none"/>
              </w:rPr>
              <w:t>按采购人要求</w:t>
            </w:r>
          </w:p>
        </w:tc>
        <w:tc>
          <w:tcPr>
            <w:tcW w:w="2967" w:type="dxa"/>
            <w:noWrap w:val="0"/>
            <w:vAlign w:val="center"/>
          </w:tcPr>
          <w:p>
            <w:pPr>
              <w:pStyle w:val="4"/>
              <w:spacing w:line="240" w:lineRule="auto"/>
              <w:jc w:val="center"/>
              <w:outlineLvl w:val="0"/>
              <w:rPr>
                <w:rFonts w:hint="eastAsia" w:ascii="宋体" w:hAnsi="宋体"/>
                <w:b w:val="0"/>
                <w:color w:val="auto"/>
                <w:kern w:val="2"/>
                <w:sz w:val="24"/>
                <w:highlight w:val="none"/>
              </w:rPr>
            </w:pPr>
          </w:p>
        </w:tc>
      </w:tr>
    </w:tbl>
    <w:p>
      <w:pPr>
        <w:autoSpaceDE w:val="0"/>
        <w:autoSpaceDN w:val="0"/>
        <w:adjustRightInd w:val="0"/>
        <w:spacing w:line="400" w:lineRule="exact"/>
        <w:ind w:firstLine="482" w:firstLineChars="200"/>
        <w:jc w:val="left"/>
        <w:rPr>
          <w:rFonts w:hint="eastAsia" w:ascii="宋体" w:hAnsi="宋体"/>
          <w:color w:val="auto"/>
          <w:sz w:val="24"/>
          <w:highlight w:val="none"/>
        </w:rPr>
      </w:pPr>
      <w:r>
        <w:rPr>
          <w:rFonts w:hint="eastAsia" w:ascii="宋体" w:hAnsi="宋体"/>
          <w:b/>
          <w:bCs/>
          <w:color w:val="auto"/>
          <w:sz w:val="24"/>
          <w:highlight w:val="none"/>
        </w:rPr>
        <w:t>（六）违约责任</w:t>
      </w:r>
    </w:p>
    <w:p>
      <w:pPr>
        <w:spacing w:line="400" w:lineRule="exact"/>
        <w:ind w:firstLine="480" w:firstLineChars="200"/>
        <w:rPr>
          <w:rFonts w:hint="eastAsia" w:ascii="宋体" w:hAnsi="宋体" w:cs="宋体"/>
          <w:bCs/>
          <w:color w:val="auto"/>
          <w:sz w:val="24"/>
          <w:highlight w:val="none"/>
        </w:rPr>
      </w:pPr>
      <w:r>
        <w:rPr>
          <w:rFonts w:hint="eastAsia" w:ascii="宋体" w:hAnsi="宋体"/>
          <w:color w:val="auto"/>
          <w:sz w:val="24"/>
          <w:highlight w:val="none"/>
        </w:rPr>
        <w:t>因中标人原因，无法提供检测报告或者所提供的检测报告不合格，未能通过审查，中标人应负责重新进行检测，使其达到通过审查的质量标准。</w:t>
      </w:r>
      <w:bookmarkStart w:id="69" w:name="_Toc370822544"/>
      <w:r>
        <w:rPr>
          <w:rFonts w:hint="eastAsia" w:ascii="宋体" w:hAnsi="宋体" w:cs="宋体"/>
          <w:bCs/>
          <w:color w:val="auto"/>
          <w:sz w:val="24"/>
          <w:highlight w:val="none"/>
        </w:rPr>
        <w:t>如果返工后仍无法达到质量要求，采购人可终止合同，履约保证金不予退回。</w:t>
      </w:r>
      <w:bookmarkEnd w:id="69"/>
    </w:p>
    <w:p>
      <w:pPr>
        <w:pStyle w:val="2"/>
        <w:rPr>
          <w:color w:val="auto"/>
          <w:highlight w:val="none"/>
        </w:rPr>
      </w:pPr>
    </w:p>
    <w:p>
      <w:pPr>
        <w:numPr>
          <w:ilvl w:val="0"/>
          <w:numId w:val="16"/>
        </w:numPr>
        <w:spacing w:line="360" w:lineRule="auto"/>
        <w:jc w:val="center"/>
        <w:outlineLvl w:val="1"/>
        <w:rPr>
          <w:rFonts w:ascii="宋体"/>
          <w:b/>
          <w:color w:val="auto"/>
          <w:kern w:val="0"/>
          <w:sz w:val="28"/>
          <w:szCs w:val="20"/>
          <w:highlight w:val="none"/>
        </w:rPr>
      </w:pPr>
      <w:bookmarkStart w:id="70" w:name="_Toc30684"/>
      <w:r>
        <w:rPr>
          <w:rFonts w:hint="eastAsia" w:ascii="宋体"/>
          <w:b/>
          <w:color w:val="auto"/>
          <w:kern w:val="0"/>
          <w:sz w:val="28"/>
          <w:szCs w:val="20"/>
          <w:highlight w:val="none"/>
        </w:rPr>
        <w:t>付款方式及要求</w:t>
      </w:r>
      <w:bookmarkEnd w:id="64"/>
      <w:bookmarkEnd w:id="65"/>
      <w:bookmarkEnd w:id="66"/>
      <w:bookmarkEnd w:id="67"/>
      <w:bookmarkEnd w:id="68"/>
      <w:bookmarkEnd w:id="70"/>
    </w:p>
    <w:p>
      <w:pPr>
        <w:pStyle w:val="40"/>
        <w:rPr>
          <w:rFonts w:hint="eastAsia"/>
          <w:color w:val="auto"/>
          <w:sz w:val="24"/>
          <w:highlight w:val="none"/>
        </w:rPr>
      </w:pPr>
    </w:p>
    <w:p>
      <w:pPr>
        <w:autoSpaceDE w:val="0"/>
        <w:autoSpaceDN w:val="0"/>
        <w:adjustRightInd w:val="0"/>
        <w:spacing w:line="360" w:lineRule="auto"/>
        <w:ind w:left="479" w:leftChars="228"/>
        <w:jc w:val="left"/>
        <w:rPr>
          <w:rFonts w:ascii="宋体" w:hAnsi="宋体"/>
          <w:color w:val="auto"/>
          <w:sz w:val="24"/>
          <w:highlight w:val="none"/>
        </w:rPr>
      </w:pPr>
      <w:r>
        <w:rPr>
          <w:rFonts w:hint="eastAsia" w:ascii="宋体" w:hAnsi="宋体"/>
          <w:color w:val="auto"/>
          <w:sz w:val="24"/>
          <w:highlight w:val="none"/>
        </w:rPr>
        <w:t>1、签订合同之后15个工作日内采购方向供应商支付合同金额的</w:t>
      </w:r>
      <w:r>
        <w:rPr>
          <w:rFonts w:hint="eastAsia" w:ascii="宋体" w:hAnsi="宋体"/>
          <w:color w:val="auto"/>
          <w:sz w:val="24"/>
          <w:highlight w:val="none"/>
          <w:lang w:val="en-US" w:eastAsia="zh-CN"/>
        </w:rPr>
        <w:t>4</w:t>
      </w:r>
      <w:r>
        <w:rPr>
          <w:rFonts w:hint="eastAsia" w:ascii="宋体" w:hAnsi="宋体"/>
          <w:color w:val="auto"/>
          <w:sz w:val="24"/>
          <w:highlight w:val="none"/>
        </w:rPr>
        <w:t>0%；</w:t>
      </w:r>
    </w:p>
    <w:p>
      <w:pPr>
        <w:spacing w:line="440" w:lineRule="exact"/>
        <w:ind w:firstLine="480" w:firstLineChars="200"/>
        <w:rPr>
          <w:rFonts w:hint="default" w:eastAsia="宋体"/>
          <w:color w:val="auto"/>
          <w:highlight w:val="none"/>
          <w:lang w:val="en-US" w:eastAsia="zh-CN"/>
        </w:rPr>
      </w:pPr>
      <w:r>
        <w:rPr>
          <w:rFonts w:hint="eastAsia" w:ascii="宋体" w:hAnsi="宋体"/>
          <w:color w:val="auto"/>
          <w:sz w:val="24"/>
          <w:highlight w:val="none"/>
          <w:lang w:val="en-US" w:eastAsia="zh-CN"/>
        </w:rPr>
        <w:t>2</w:t>
      </w:r>
      <w:r>
        <w:rPr>
          <w:rFonts w:hint="eastAsia" w:ascii="宋体" w:hAnsi="宋体"/>
          <w:color w:val="auto"/>
          <w:sz w:val="24"/>
          <w:highlight w:val="none"/>
        </w:rPr>
        <w:t>、</w:t>
      </w:r>
      <w:r>
        <w:rPr>
          <w:rFonts w:hint="eastAsia" w:ascii="宋体" w:hAnsi="宋体" w:cs="Times New Roman"/>
          <w:color w:val="auto"/>
          <w:sz w:val="24"/>
          <w:highlight w:val="none"/>
        </w:rPr>
        <w:t>出具报告并通过验收后15个</w:t>
      </w:r>
      <w:r>
        <w:rPr>
          <w:rFonts w:hint="eastAsia" w:ascii="宋体" w:hAnsi="宋体"/>
          <w:color w:val="auto"/>
          <w:sz w:val="24"/>
          <w:highlight w:val="none"/>
        </w:rPr>
        <w:t>工作日内付清余款。</w:t>
      </w:r>
    </w:p>
    <w:p>
      <w:pPr>
        <w:pStyle w:val="11"/>
        <w:rPr>
          <w:color w:val="auto"/>
          <w:highlight w:val="none"/>
        </w:rPr>
      </w:pPr>
    </w:p>
    <w:p>
      <w:pPr>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4"/>
        <w:numPr>
          <w:ilvl w:val="0"/>
          <w:numId w:val="15"/>
        </w:numPr>
        <w:jc w:val="center"/>
        <w:rPr>
          <w:color w:val="auto"/>
          <w:sz w:val="36"/>
          <w:szCs w:val="21"/>
          <w:highlight w:val="none"/>
        </w:rPr>
      </w:pPr>
      <w:bookmarkStart w:id="71" w:name="_Toc8319"/>
      <w:r>
        <w:rPr>
          <w:rFonts w:hint="eastAsia"/>
          <w:color w:val="auto"/>
          <w:sz w:val="36"/>
          <w:szCs w:val="21"/>
          <w:highlight w:val="none"/>
        </w:rPr>
        <w:t>磋商原则及磋商方法</w:t>
      </w:r>
      <w:bookmarkEnd w:id="71"/>
    </w:p>
    <w:p>
      <w:pPr>
        <w:pStyle w:val="2"/>
        <w:numPr>
          <w:ilvl w:val="0"/>
          <w:numId w:val="17"/>
        </w:numPr>
        <w:jc w:val="center"/>
        <w:rPr>
          <w:color w:val="auto"/>
          <w:highlight w:val="none"/>
        </w:rPr>
      </w:pPr>
      <w:bookmarkStart w:id="72" w:name="_Toc2483"/>
      <w:r>
        <w:rPr>
          <w:rFonts w:hint="eastAsia"/>
          <w:color w:val="auto"/>
          <w:highlight w:val="none"/>
        </w:rPr>
        <w:t>磋商原则</w:t>
      </w:r>
      <w:bookmarkEnd w:id="72"/>
    </w:p>
    <w:p>
      <w:pPr>
        <w:pStyle w:val="3"/>
        <w:spacing w:line="360" w:lineRule="auto"/>
        <w:ind w:firstLine="480" w:firstLineChars="200"/>
        <w:rPr>
          <w:rFonts w:ascii="宋体" w:hAnsi="宋体" w:cs="宋体"/>
          <w:color w:val="auto"/>
          <w:sz w:val="24"/>
          <w:szCs w:val="22"/>
          <w:highlight w:val="none"/>
        </w:rPr>
      </w:pPr>
      <w:r>
        <w:rPr>
          <w:rFonts w:hint="eastAsia" w:ascii="宋体" w:hAnsi="宋体" w:cs="宋体"/>
          <w:color w:val="auto"/>
          <w:sz w:val="24"/>
          <w:szCs w:val="22"/>
          <w:highlight w:val="none"/>
        </w:rPr>
        <w:t>1、本次竞争性磋商本着公平、公正、科学、择优的原则，邀请各磋商方参加报价。</w:t>
      </w:r>
    </w:p>
    <w:p>
      <w:pPr>
        <w:pStyle w:val="3"/>
        <w:spacing w:line="360" w:lineRule="auto"/>
        <w:ind w:firstLine="480" w:firstLineChars="200"/>
        <w:rPr>
          <w:rFonts w:ascii="宋体" w:hAnsi="宋体" w:cs="宋体"/>
          <w:color w:val="auto"/>
          <w:sz w:val="24"/>
          <w:szCs w:val="22"/>
          <w:highlight w:val="none"/>
        </w:rPr>
      </w:pPr>
      <w:r>
        <w:rPr>
          <w:rFonts w:hint="eastAsia" w:ascii="宋体" w:hAnsi="宋体" w:cs="宋体"/>
          <w:color w:val="auto"/>
          <w:sz w:val="24"/>
          <w:szCs w:val="22"/>
          <w:highlight w:val="none"/>
        </w:rPr>
        <w:t>2、磋商小组将严格按照竞争性磋商文件的要求，对供应商的响应性文件进行认真评审；磋商小组对响应性文件的评审仅依据响应性文件本身，而不依据响应性文件以外的任何因素。</w:t>
      </w:r>
    </w:p>
    <w:p>
      <w:pPr>
        <w:pStyle w:val="3"/>
        <w:spacing w:line="360" w:lineRule="auto"/>
        <w:ind w:firstLine="480" w:firstLineChars="200"/>
        <w:rPr>
          <w:rFonts w:ascii="宋体" w:hAnsi="宋体" w:cs="宋体"/>
          <w:color w:val="auto"/>
          <w:sz w:val="24"/>
          <w:szCs w:val="22"/>
          <w:highlight w:val="none"/>
        </w:rPr>
      </w:pPr>
      <w:r>
        <w:rPr>
          <w:rFonts w:hint="eastAsia" w:ascii="宋体" w:hAnsi="宋体" w:cs="宋体"/>
          <w:color w:val="auto"/>
          <w:sz w:val="24"/>
          <w:szCs w:val="22"/>
          <w:highlight w:val="none"/>
        </w:rPr>
        <w:t>3、磋商小组按照统一的磋商原则和磋商方法，用同一标准对所有响应性文件进行评审。</w:t>
      </w:r>
    </w:p>
    <w:p>
      <w:pPr>
        <w:pStyle w:val="14"/>
        <w:spacing w:line="360" w:lineRule="auto"/>
        <w:ind w:firstLine="482" w:firstLineChars="200"/>
        <w:rPr>
          <w:rFonts w:hAnsi="宋体" w:cs="宋体"/>
          <w:b/>
          <w:color w:val="auto"/>
          <w:sz w:val="24"/>
          <w:szCs w:val="24"/>
          <w:highlight w:val="none"/>
        </w:rPr>
      </w:pPr>
      <w:r>
        <w:rPr>
          <w:rFonts w:hint="eastAsia" w:hAnsi="宋体" w:cs="宋体"/>
          <w:b/>
          <w:color w:val="auto"/>
          <w:sz w:val="24"/>
          <w:szCs w:val="24"/>
          <w:highlight w:val="none"/>
        </w:rPr>
        <w:t>4、评审</w:t>
      </w:r>
    </w:p>
    <w:p>
      <w:pPr>
        <w:pStyle w:val="14"/>
        <w:spacing w:line="360" w:lineRule="auto"/>
        <w:ind w:firstLine="480" w:firstLineChars="200"/>
        <w:rPr>
          <w:rFonts w:hAnsi="宋体" w:cs="宋体"/>
          <w:color w:val="auto"/>
          <w:sz w:val="24"/>
          <w:highlight w:val="none"/>
        </w:rPr>
      </w:pPr>
      <w:r>
        <w:rPr>
          <w:rFonts w:hint="eastAsia" w:hAnsi="宋体" w:cs="宋体"/>
          <w:color w:val="auto"/>
          <w:sz w:val="24"/>
          <w:highlight w:val="none"/>
        </w:rPr>
        <w:t>4.1在磋商响应截止时间前按规定提交响应文件的供应商在三家（含）以上的，由采购人或采购代理机构组织进行开标。</w:t>
      </w:r>
    </w:p>
    <w:p>
      <w:pPr>
        <w:pStyle w:val="14"/>
        <w:spacing w:line="360" w:lineRule="auto"/>
        <w:ind w:firstLine="482" w:firstLineChars="200"/>
        <w:rPr>
          <w:rFonts w:hAnsi="宋体" w:cs="宋体"/>
          <w:color w:val="auto"/>
          <w:sz w:val="24"/>
          <w:szCs w:val="24"/>
          <w:highlight w:val="none"/>
        </w:rPr>
      </w:pPr>
      <w:r>
        <w:rPr>
          <w:rFonts w:hint="eastAsia" w:hAnsi="宋体" w:cs="宋体"/>
          <w:b/>
          <w:bCs/>
          <w:color w:val="auto"/>
          <w:sz w:val="24"/>
          <w:highlight w:val="none"/>
        </w:rPr>
        <w:t>4.2供应商登录政采云平台，用“项目采购</w:t>
      </w:r>
      <w:r>
        <w:rPr>
          <w:rFonts w:hAnsi="宋体" w:cs="宋体"/>
          <w:b/>
          <w:bCs/>
          <w:color w:val="auto"/>
          <w:sz w:val="24"/>
          <w:highlight w:val="none"/>
        </w:rPr>
        <w:t>-</w:t>
      </w:r>
      <w:r>
        <w:rPr>
          <w:rFonts w:hint="eastAsia" w:hAnsi="宋体" w:cs="宋体"/>
          <w:b/>
          <w:bCs/>
          <w:color w:val="auto"/>
          <w:sz w:val="24"/>
          <w:highlight w:val="none"/>
        </w:rPr>
        <w:t>开标评标”功能对电子磋商响应文件进行在线解密。在线解密电子磋商响应文件时间为开标时间起30分钟内。若电子磋商响应文件解密失败，则由采购代理机构工作人员上传供应商提供的备份文件。</w:t>
      </w:r>
      <w:r>
        <w:rPr>
          <w:rFonts w:hint="eastAsia" w:hAnsi="宋体" w:cs="宋体"/>
          <w:color w:val="auto"/>
          <w:sz w:val="24"/>
          <w:szCs w:val="24"/>
          <w:highlight w:val="none"/>
        </w:rPr>
        <w:t>备份文件（后缀名为</w:t>
      </w:r>
      <w:r>
        <w:rPr>
          <w:rFonts w:hAnsi="宋体" w:cs="宋体"/>
          <w:color w:val="auto"/>
          <w:sz w:val="24"/>
          <w:szCs w:val="24"/>
          <w:highlight w:val="none"/>
        </w:rPr>
        <w:t>.bfbs</w:t>
      </w:r>
      <w:r>
        <w:rPr>
          <w:rFonts w:hint="eastAsia" w:hAnsi="宋体" w:cs="宋体"/>
          <w:color w:val="auto"/>
          <w:sz w:val="24"/>
          <w:szCs w:val="24"/>
          <w:highlight w:val="none"/>
        </w:rPr>
        <w:t>）须存储在</w:t>
      </w:r>
      <w:r>
        <w:rPr>
          <w:rFonts w:hAnsi="宋体" w:cs="宋体"/>
          <w:color w:val="auto"/>
          <w:sz w:val="24"/>
          <w:szCs w:val="24"/>
          <w:highlight w:val="none"/>
        </w:rPr>
        <w:t>U</w:t>
      </w:r>
      <w:r>
        <w:rPr>
          <w:rFonts w:hint="eastAsia" w:hAnsi="宋体" w:cs="宋体"/>
          <w:color w:val="auto"/>
          <w:sz w:val="24"/>
          <w:szCs w:val="24"/>
          <w:highlight w:val="none"/>
        </w:rPr>
        <w:t>盘中，与上传的电子磋商响应文件一致，用信封进行密封并盖章</w:t>
      </w:r>
      <w:r>
        <w:rPr>
          <w:rFonts w:hint="eastAsia" w:hAnsi="宋体" w:cs="宋体"/>
          <w:b/>
          <w:bCs/>
          <w:color w:val="auto"/>
          <w:sz w:val="24"/>
          <w:highlight w:val="none"/>
        </w:rPr>
        <w:t>（信封内仅需放入存储备份文件的</w:t>
      </w:r>
      <w:r>
        <w:rPr>
          <w:rFonts w:hAnsi="宋体" w:cs="宋体"/>
          <w:b/>
          <w:bCs/>
          <w:color w:val="auto"/>
          <w:sz w:val="24"/>
          <w:highlight w:val="none"/>
        </w:rPr>
        <w:t>U</w:t>
      </w:r>
      <w:r>
        <w:rPr>
          <w:rFonts w:hint="eastAsia" w:hAnsi="宋体" w:cs="宋体"/>
          <w:b/>
          <w:bCs/>
          <w:color w:val="auto"/>
          <w:sz w:val="24"/>
          <w:highlight w:val="none"/>
        </w:rPr>
        <w:t>盘）</w:t>
      </w:r>
      <w:r>
        <w:rPr>
          <w:rFonts w:hint="eastAsia" w:hAnsi="宋体" w:cs="宋体"/>
          <w:color w:val="auto"/>
          <w:sz w:val="24"/>
          <w:szCs w:val="24"/>
          <w:highlight w:val="none"/>
        </w:rPr>
        <w:t>，由授权代表在磋商响应截止时间前递交至开标地点。</w:t>
      </w:r>
    </w:p>
    <w:p>
      <w:pPr>
        <w:pStyle w:val="14"/>
        <w:spacing w:line="360" w:lineRule="auto"/>
        <w:ind w:firstLine="480" w:firstLineChars="200"/>
        <w:rPr>
          <w:rFonts w:hAnsi="宋体" w:cs="宋体"/>
          <w:color w:val="auto"/>
          <w:sz w:val="24"/>
          <w:highlight w:val="none"/>
        </w:rPr>
      </w:pPr>
      <w:r>
        <w:rPr>
          <w:rFonts w:hint="eastAsia" w:hAnsi="宋体" w:cs="宋体"/>
          <w:color w:val="auto"/>
          <w:sz w:val="24"/>
          <w:highlight w:val="none"/>
        </w:rPr>
        <w:t>4.3采购人按磋商文件规定的时间、地点公开开标。开标仪式由采购人或采购代理机构主持及有关人员参加。</w:t>
      </w:r>
    </w:p>
    <w:p>
      <w:pPr>
        <w:pStyle w:val="31"/>
        <w:spacing w:before="0"/>
        <w:ind w:firstLine="480"/>
        <w:rPr>
          <w:rFonts w:ascii="宋体" w:cs="宋体"/>
          <w:color w:val="auto"/>
          <w:szCs w:val="24"/>
          <w:highlight w:val="none"/>
        </w:rPr>
      </w:pPr>
      <w:r>
        <w:rPr>
          <w:rFonts w:hint="eastAsia" w:ascii="宋体" w:hAnsi="宋体" w:cs="宋体"/>
          <w:color w:val="auto"/>
          <w:szCs w:val="24"/>
          <w:highlight w:val="none"/>
        </w:rPr>
        <w:t>4.4本项目为电子投标项目，供应商一般不需要参加现场投标和开标，若供应商需要指派授权代表递交备份文件，则授权代表应随身携带法定代表人授权书原件于</w:t>
      </w:r>
      <w:r>
        <w:rPr>
          <w:rFonts w:hint="eastAsia" w:hAnsi="宋体" w:cs="宋体"/>
          <w:color w:val="auto"/>
          <w:highlight w:val="none"/>
        </w:rPr>
        <w:t>磋商响应</w:t>
      </w:r>
      <w:r>
        <w:rPr>
          <w:rFonts w:hint="eastAsia" w:ascii="宋体" w:hAnsi="宋体" w:cs="宋体"/>
          <w:color w:val="auto"/>
          <w:szCs w:val="24"/>
          <w:highlight w:val="none"/>
        </w:rPr>
        <w:t>截止时间前到达开标地点递交备份文件。若电子磋商响应文件正常解锁，则</w:t>
      </w:r>
      <w:r>
        <w:rPr>
          <w:rFonts w:ascii="宋体" w:hAnsi="宋体" w:cs="宋体"/>
          <w:color w:val="auto"/>
          <w:szCs w:val="24"/>
          <w:highlight w:val="none"/>
        </w:rPr>
        <w:t>U</w:t>
      </w:r>
      <w:r>
        <w:rPr>
          <w:rFonts w:hint="eastAsia" w:ascii="宋体" w:hAnsi="宋体" w:cs="宋体"/>
          <w:color w:val="auto"/>
          <w:szCs w:val="24"/>
          <w:highlight w:val="none"/>
        </w:rPr>
        <w:t>盘退还给供应商；若解锁失败，则由采购代理机构将</w:t>
      </w:r>
      <w:r>
        <w:rPr>
          <w:rFonts w:ascii="宋体" w:hAnsi="宋体" w:cs="宋体"/>
          <w:color w:val="auto"/>
          <w:szCs w:val="24"/>
          <w:highlight w:val="none"/>
        </w:rPr>
        <w:t>U</w:t>
      </w:r>
      <w:r>
        <w:rPr>
          <w:rFonts w:hint="eastAsia" w:ascii="宋体" w:hAnsi="宋体" w:cs="宋体"/>
          <w:color w:val="auto"/>
          <w:szCs w:val="24"/>
          <w:highlight w:val="none"/>
        </w:rPr>
        <w:t>盘中的备份文件上传，该</w:t>
      </w:r>
      <w:r>
        <w:rPr>
          <w:rFonts w:ascii="宋体" w:hAnsi="宋体" w:cs="宋体"/>
          <w:color w:val="auto"/>
          <w:szCs w:val="24"/>
          <w:highlight w:val="none"/>
        </w:rPr>
        <w:t>U</w:t>
      </w:r>
      <w:r>
        <w:rPr>
          <w:rFonts w:hint="eastAsia" w:ascii="宋体" w:hAnsi="宋体" w:cs="宋体"/>
          <w:color w:val="auto"/>
          <w:szCs w:val="24"/>
          <w:highlight w:val="none"/>
        </w:rPr>
        <w:t>盘将由采购代理机构保存。</w:t>
      </w:r>
    </w:p>
    <w:p>
      <w:pPr>
        <w:pStyle w:val="31"/>
        <w:spacing w:before="0"/>
        <w:ind w:firstLine="480"/>
        <w:rPr>
          <w:rFonts w:ascii="宋体" w:cs="宋体"/>
          <w:color w:val="auto"/>
          <w:szCs w:val="24"/>
          <w:highlight w:val="none"/>
        </w:rPr>
      </w:pPr>
      <w:r>
        <w:rPr>
          <w:rFonts w:hint="eastAsia" w:ascii="宋体" w:hAnsi="宋体" w:cs="宋体"/>
          <w:color w:val="auto"/>
          <w:szCs w:val="24"/>
          <w:highlight w:val="none"/>
        </w:rPr>
        <w:t>4.5两个以上的自然人、法人或者其他组织组成一个联合体，以一个供应商的身份共同参加政府采购活动的，应当对所有联合体成员进行信用记录查询，联合体成员存在不良信用记录的，视同联合体存在不良信用记录。</w:t>
      </w:r>
    </w:p>
    <w:p>
      <w:pPr>
        <w:spacing w:line="360" w:lineRule="auto"/>
        <w:ind w:firstLine="480"/>
        <w:rPr>
          <w:rFonts w:ascii="宋体" w:cs="宋体"/>
          <w:color w:val="auto"/>
          <w:sz w:val="24"/>
          <w:highlight w:val="none"/>
        </w:rPr>
      </w:pPr>
      <w:r>
        <w:rPr>
          <w:rFonts w:hint="eastAsia" w:ascii="宋体" w:hAnsi="宋体" w:cs="宋体"/>
          <w:color w:val="auto"/>
          <w:sz w:val="24"/>
          <w:highlight w:val="none"/>
        </w:rPr>
        <w:t>5、组建磋商小组</w:t>
      </w:r>
    </w:p>
    <w:p>
      <w:pPr>
        <w:pStyle w:val="31"/>
        <w:spacing w:before="0"/>
        <w:ind w:firstLine="480"/>
        <w:rPr>
          <w:rFonts w:ascii="宋体" w:cs="宋体"/>
          <w:color w:val="auto"/>
          <w:szCs w:val="24"/>
          <w:highlight w:val="none"/>
        </w:rPr>
      </w:pPr>
      <w:r>
        <w:rPr>
          <w:rFonts w:hint="eastAsia" w:ascii="宋体" w:hAnsi="宋体" w:cs="宋体"/>
          <w:color w:val="auto"/>
          <w:szCs w:val="24"/>
          <w:highlight w:val="none"/>
        </w:rPr>
        <w:t>5.1磋商小组由采购人代表和评审专家共</w:t>
      </w:r>
      <w:r>
        <w:rPr>
          <w:rFonts w:ascii="宋体" w:hAnsi="宋体" w:cs="宋体"/>
          <w:color w:val="auto"/>
          <w:szCs w:val="24"/>
          <w:highlight w:val="none"/>
        </w:rPr>
        <w:t>3</w:t>
      </w:r>
      <w:r>
        <w:rPr>
          <w:rFonts w:hint="eastAsia" w:ascii="宋体" w:hAnsi="宋体" w:cs="宋体"/>
          <w:color w:val="auto"/>
          <w:szCs w:val="24"/>
          <w:highlight w:val="none"/>
        </w:rPr>
        <w:t>人或以上单数组成，其中评审专家人数不少于磋商小组成员总数的</w:t>
      </w:r>
      <w:r>
        <w:rPr>
          <w:rFonts w:ascii="宋体" w:hAnsi="宋体" w:cs="宋体"/>
          <w:color w:val="auto"/>
          <w:szCs w:val="24"/>
          <w:highlight w:val="none"/>
        </w:rPr>
        <w:t>2/3</w:t>
      </w:r>
      <w:r>
        <w:rPr>
          <w:rFonts w:hint="eastAsia" w:ascii="宋体" w:hAnsi="宋体" w:cs="宋体"/>
          <w:color w:val="auto"/>
          <w:szCs w:val="24"/>
          <w:highlight w:val="none"/>
        </w:rPr>
        <w:t>。</w:t>
      </w:r>
    </w:p>
    <w:p>
      <w:pPr>
        <w:pStyle w:val="31"/>
        <w:tabs>
          <w:tab w:val="left" w:pos="0"/>
        </w:tabs>
        <w:spacing w:before="0"/>
        <w:ind w:firstLine="480"/>
        <w:rPr>
          <w:rFonts w:ascii="宋体" w:cs="宋体"/>
          <w:color w:val="auto"/>
          <w:szCs w:val="24"/>
          <w:highlight w:val="none"/>
          <w:lang w:val="zh-CN"/>
        </w:rPr>
      </w:pPr>
      <w:r>
        <w:rPr>
          <w:rFonts w:hint="eastAsia" w:ascii="宋体" w:hAnsi="宋体" w:cs="宋体"/>
          <w:color w:val="auto"/>
          <w:szCs w:val="24"/>
          <w:highlight w:val="none"/>
        </w:rPr>
        <w:t>5.2</w:t>
      </w:r>
      <w:r>
        <w:rPr>
          <w:rFonts w:hint="eastAsia" w:ascii="宋体" w:hAnsi="宋体" w:cs="宋体"/>
          <w:color w:val="auto"/>
          <w:szCs w:val="24"/>
          <w:highlight w:val="none"/>
          <w:lang w:val="zh-CN"/>
        </w:rPr>
        <w:t>评标工作由评标委员会负责，并推选产生的组长主持；</w:t>
      </w:r>
    </w:p>
    <w:p>
      <w:pPr>
        <w:pStyle w:val="3"/>
        <w:spacing w:line="360" w:lineRule="auto"/>
        <w:ind w:firstLine="480" w:firstLineChars="200"/>
        <w:rPr>
          <w:rFonts w:ascii="宋体" w:hAnsi="宋体" w:cs="宋体"/>
          <w:color w:val="auto"/>
          <w:sz w:val="24"/>
          <w:szCs w:val="22"/>
          <w:highlight w:val="none"/>
        </w:rPr>
      </w:pPr>
      <w:r>
        <w:rPr>
          <w:rFonts w:hint="eastAsia" w:ascii="宋体" w:hAnsi="宋体" w:cs="宋体"/>
          <w:color w:val="auto"/>
          <w:sz w:val="24"/>
          <w:szCs w:val="24"/>
          <w:highlight w:val="none"/>
        </w:rPr>
        <w:t>5.3</w:t>
      </w:r>
      <w:r>
        <w:rPr>
          <w:rFonts w:hint="eastAsia" w:ascii="宋体" w:hAnsi="宋体" w:cs="宋体"/>
          <w:color w:val="auto"/>
          <w:sz w:val="24"/>
          <w:szCs w:val="24"/>
          <w:highlight w:val="none"/>
          <w:lang w:val="zh-CN"/>
        </w:rPr>
        <w:t>本次评标为在线评标。</w:t>
      </w:r>
    </w:p>
    <w:p>
      <w:pPr>
        <w:pStyle w:val="2"/>
        <w:jc w:val="center"/>
        <w:rPr>
          <w:color w:val="auto"/>
          <w:highlight w:val="none"/>
        </w:rPr>
      </w:pPr>
      <w:bookmarkStart w:id="73" w:name="_Toc32108"/>
      <w:r>
        <w:rPr>
          <w:rFonts w:hint="eastAsia"/>
          <w:color w:val="auto"/>
          <w:highlight w:val="none"/>
        </w:rPr>
        <w:t>二、磋商程序</w:t>
      </w:r>
      <w:bookmarkEnd w:id="73"/>
    </w:p>
    <w:p>
      <w:pPr>
        <w:snapToGrid w:val="0"/>
        <w:spacing w:line="360" w:lineRule="auto"/>
        <w:ind w:firstLine="480"/>
        <w:rPr>
          <w:rFonts w:ascii="宋体" w:cs="宋体"/>
          <w:b/>
          <w:color w:val="auto"/>
          <w:sz w:val="24"/>
          <w:highlight w:val="none"/>
        </w:rPr>
      </w:pPr>
      <w:r>
        <w:rPr>
          <w:rFonts w:ascii="宋体" w:hAnsi="宋体" w:cs="宋体"/>
          <w:b/>
          <w:color w:val="auto"/>
          <w:sz w:val="24"/>
          <w:highlight w:val="none"/>
        </w:rPr>
        <w:t>1</w:t>
      </w:r>
      <w:r>
        <w:rPr>
          <w:rFonts w:hint="eastAsia" w:ascii="宋体" w:hAnsi="宋体" w:cs="宋体"/>
          <w:b/>
          <w:color w:val="auto"/>
          <w:sz w:val="24"/>
          <w:highlight w:val="none"/>
        </w:rPr>
        <w:t>、对所有响应文件的初审</w:t>
      </w:r>
    </w:p>
    <w:p>
      <w:pPr>
        <w:adjustRightInd w:val="0"/>
        <w:snapToGrid w:val="0"/>
        <w:spacing w:line="360" w:lineRule="auto"/>
        <w:ind w:firstLine="480"/>
        <w:rPr>
          <w:rFonts w:ascii="宋体" w:cs="宋体"/>
          <w:color w:val="auto"/>
          <w:sz w:val="24"/>
          <w:highlight w:val="none"/>
        </w:rPr>
      </w:pPr>
      <w:r>
        <w:rPr>
          <w:rFonts w:ascii="宋体" w:hAnsi="宋体" w:cs="宋体"/>
          <w:color w:val="auto"/>
          <w:sz w:val="24"/>
          <w:highlight w:val="none"/>
        </w:rPr>
        <w:t>1.1</w:t>
      </w:r>
      <w:r>
        <w:rPr>
          <w:rFonts w:hint="eastAsia" w:ascii="宋体" w:hAnsi="宋体" w:cs="宋体"/>
          <w:color w:val="auto"/>
          <w:sz w:val="24"/>
          <w:highlight w:val="none"/>
        </w:rPr>
        <w:t>资格审查</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1</w:t>
      </w:r>
      <w:r>
        <w:rPr>
          <w:rFonts w:hint="eastAsia" w:ascii="宋体" w:hAnsi="宋体" w:cs="宋体"/>
          <w:bCs/>
          <w:color w:val="auto"/>
          <w:sz w:val="24"/>
          <w:highlight w:val="none"/>
        </w:rPr>
        <w:t>）开标后，磋商小组将依法对供应商的资格进行审查。</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2</w:t>
      </w:r>
      <w:r>
        <w:rPr>
          <w:rFonts w:hint="eastAsia" w:ascii="宋体" w:hAnsi="宋体" w:cs="宋体"/>
          <w:bCs/>
          <w:color w:val="auto"/>
          <w:sz w:val="24"/>
          <w:highlight w:val="none"/>
        </w:rPr>
        <w:t>）磋商小组依据法律法规和磋商文件的规定，对供应商的基本资格条件、特定资格条件进行审查。</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3</w:t>
      </w:r>
      <w:r>
        <w:rPr>
          <w:rFonts w:hint="eastAsia" w:ascii="宋体" w:hAnsi="宋体" w:cs="宋体"/>
          <w:bCs/>
          <w:color w:val="auto"/>
          <w:sz w:val="24"/>
          <w:highlight w:val="none"/>
        </w:rPr>
        <w:t>）供应商未按照磋商文件要求提供与基本资格条件、特定资格条件相应的有效资格证明材料的，视为供应商不具备磋商文件中规定的资格要求，其磋商无效。并将无效原由告知相关供应商</w:t>
      </w:r>
      <w:r>
        <w:rPr>
          <w:rFonts w:hint="eastAsia" w:ascii="宋体" w:cs="宋体"/>
          <w:bCs/>
          <w:color w:val="auto"/>
          <w:sz w:val="24"/>
          <w:highlight w:val="none"/>
        </w:rPr>
        <w:t>。</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4</w:t>
      </w:r>
      <w:r>
        <w:rPr>
          <w:rFonts w:hint="eastAsia" w:ascii="宋体" w:hAnsi="宋体" w:cs="宋体"/>
          <w:bCs/>
          <w:color w:val="auto"/>
          <w:sz w:val="24"/>
          <w:highlight w:val="none"/>
        </w:rPr>
        <w:t>）采购人或采购代理机构将通过“信用中国”网站</w:t>
      </w:r>
      <w:r>
        <w:rPr>
          <w:rFonts w:ascii="宋体" w:hAnsi="宋体" w:cs="宋体"/>
          <w:bCs/>
          <w:color w:val="auto"/>
          <w:sz w:val="24"/>
          <w:highlight w:val="none"/>
        </w:rPr>
        <w:t>(www.creditchina.gov.cn)</w:t>
      </w:r>
      <w:r>
        <w:rPr>
          <w:rFonts w:hint="eastAsia" w:ascii="宋体" w:hAnsi="宋体" w:cs="宋体"/>
          <w:bCs/>
          <w:color w:val="auto"/>
          <w:sz w:val="24"/>
          <w:highlight w:val="none"/>
        </w:rPr>
        <w:t>、中国政府采购网</w:t>
      </w:r>
      <w:r>
        <w:rPr>
          <w:rFonts w:ascii="宋体" w:hAnsi="宋体" w:cs="宋体"/>
          <w:bCs/>
          <w:color w:val="auto"/>
          <w:sz w:val="24"/>
          <w:highlight w:val="none"/>
        </w:rPr>
        <w:t>(www.ccgp.gov.cn)</w:t>
      </w:r>
      <w:r>
        <w:rPr>
          <w:rFonts w:hint="eastAsia" w:ascii="宋体" w:hAnsi="宋体" w:cs="宋体"/>
          <w:bCs/>
          <w:color w:val="auto"/>
          <w:sz w:val="24"/>
          <w:highlight w:val="none"/>
        </w:rPr>
        <w:t>渠道查询供应商磋商开标后评标前的信用记录，经查询供应商列入失信被执行人名单、重大税收违法案件当事人名单、政府采购严重违法失信行为记录名单的，其磋商无效。</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5</w:t>
      </w:r>
      <w:r>
        <w:rPr>
          <w:rFonts w:hint="eastAsia" w:ascii="宋体" w:hAnsi="宋体" w:cs="宋体"/>
          <w:bCs/>
          <w:color w:val="auto"/>
          <w:sz w:val="24"/>
          <w:highlight w:val="none"/>
        </w:rPr>
        <w:t>）磋商小组出具《供应商资格审查意见表》，供应商未按照磋商文件要求提供与基本资格条件、特定资格条件相应的有效资格证明材料的，视为供应商不具备磋商文件中规定的资格要求，其磋商无效。</w:t>
      </w:r>
    </w:p>
    <w:p>
      <w:pPr>
        <w:adjustRightInd w:val="0"/>
        <w:snapToGrid w:val="0"/>
        <w:spacing w:line="360" w:lineRule="auto"/>
        <w:ind w:firstLine="480"/>
        <w:rPr>
          <w:rFonts w:ascii="宋体" w:cs="宋体"/>
          <w:color w:val="auto"/>
          <w:sz w:val="24"/>
          <w:highlight w:val="none"/>
        </w:rPr>
      </w:pPr>
      <w:r>
        <w:rPr>
          <w:rFonts w:ascii="宋体" w:hAnsi="宋体" w:cs="宋体"/>
          <w:color w:val="auto"/>
          <w:sz w:val="24"/>
          <w:highlight w:val="none"/>
        </w:rPr>
        <w:t>1.2</w:t>
      </w:r>
      <w:r>
        <w:rPr>
          <w:rFonts w:hint="eastAsia" w:ascii="宋体" w:hAnsi="宋体" w:cs="宋体"/>
          <w:color w:val="auto"/>
          <w:sz w:val="24"/>
          <w:highlight w:val="none"/>
        </w:rPr>
        <w:t>符合性审查：磋商小组依据磋商文件的规定，从响应文件的有效性、完整性和对磋商文件的响应程度进行审查，以确定是否对磋商文件的要求作出实质性响应。出现以下情况的，视为符合性不通过，磋商无效。</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1</w:t>
      </w:r>
      <w:r>
        <w:rPr>
          <w:rFonts w:hint="eastAsia" w:ascii="宋体" w:hAnsi="宋体" w:cs="宋体"/>
          <w:bCs/>
          <w:color w:val="auto"/>
          <w:sz w:val="24"/>
          <w:highlight w:val="none"/>
        </w:rPr>
        <w:t>）响应文件无法定代表人或其委托授权代表签名或盖章。</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2</w:t>
      </w:r>
      <w:r>
        <w:rPr>
          <w:rFonts w:hint="eastAsia" w:ascii="宋体" w:hAnsi="宋体" w:cs="宋体"/>
          <w:bCs/>
          <w:color w:val="auto"/>
          <w:sz w:val="24"/>
          <w:highlight w:val="none"/>
        </w:rPr>
        <w:t>）响应文件内容虚假的。</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3</w:t>
      </w:r>
      <w:r>
        <w:rPr>
          <w:rFonts w:hint="eastAsia" w:ascii="宋体" w:hAnsi="宋体" w:cs="宋体"/>
          <w:bCs/>
          <w:color w:val="auto"/>
          <w:sz w:val="24"/>
          <w:highlight w:val="none"/>
        </w:rPr>
        <w:t>）响应文件有采购人不能接受的附加条件的。</w:t>
      </w:r>
    </w:p>
    <w:p>
      <w:pPr>
        <w:adjustRightInd w:val="0"/>
        <w:snapToGrid w:val="0"/>
        <w:spacing w:line="360" w:lineRule="auto"/>
        <w:ind w:firstLine="480" w:firstLineChars="200"/>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4</w:t>
      </w:r>
      <w:r>
        <w:rPr>
          <w:rFonts w:hint="eastAsia" w:ascii="宋体" w:hAnsi="宋体" w:cs="宋体"/>
          <w:bCs/>
          <w:color w:val="auto"/>
          <w:sz w:val="24"/>
          <w:highlight w:val="none"/>
        </w:rPr>
        <w:t>）磋商有效期、服务期等商务条款不能满足磋商文件要求的。</w:t>
      </w:r>
    </w:p>
    <w:p>
      <w:pPr>
        <w:widowControl/>
        <w:spacing w:line="360" w:lineRule="auto"/>
        <w:ind w:firstLine="482"/>
        <w:jc w:val="left"/>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5</w:t>
      </w:r>
      <w:r>
        <w:rPr>
          <w:rFonts w:hint="eastAsia" w:ascii="宋体" w:hAnsi="宋体" w:cs="宋体"/>
          <w:bCs/>
          <w:color w:val="auto"/>
          <w:sz w:val="24"/>
          <w:highlight w:val="none"/>
        </w:rPr>
        <w:t>）投标价格超出预算或最高限价，导致采购单位无法支付的。</w:t>
      </w:r>
    </w:p>
    <w:p>
      <w:pPr>
        <w:widowControl/>
        <w:spacing w:line="360" w:lineRule="auto"/>
        <w:ind w:firstLine="482"/>
        <w:jc w:val="left"/>
        <w:rPr>
          <w:rFonts w:ascii="宋体" w:cs="宋体"/>
          <w:bCs/>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6</w:t>
      </w:r>
      <w:r>
        <w:rPr>
          <w:rFonts w:hint="eastAsia" w:ascii="宋体" w:hAnsi="宋体" w:cs="宋体"/>
          <w:bCs/>
          <w:color w:val="auto"/>
          <w:sz w:val="24"/>
          <w:highlight w:val="none"/>
        </w:rPr>
        <w:t>）磋商文件明确规定的其他无效条款的。</w:t>
      </w:r>
    </w:p>
    <w:p>
      <w:pPr>
        <w:adjustRightInd w:val="0"/>
        <w:snapToGrid w:val="0"/>
        <w:spacing w:line="360" w:lineRule="auto"/>
        <w:ind w:firstLine="480"/>
        <w:rPr>
          <w:rFonts w:ascii="宋体" w:cs="宋体"/>
          <w:color w:val="auto"/>
          <w:sz w:val="24"/>
          <w:highlight w:val="none"/>
        </w:rPr>
      </w:pPr>
      <w:r>
        <w:rPr>
          <w:rFonts w:ascii="宋体" w:hAnsi="宋体" w:cs="宋体"/>
          <w:color w:val="auto"/>
          <w:sz w:val="24"/>
          <w:highlight w:val="none"/>
        </w:rPr>
        <w:t xml:space="preserve">1.3 </w:t>
      </w:r>
      <w:r>
        <w:rPr>
          <w:rFonts w:hint="eastAsia" w:ascii="宋体" w:hAnsi="宋体" w:cs="宋体"/>
          <w:color w:val="auto"/>
          <w:sz w:val="24"/>
          <w:highlight w:val="none"/>
        </w:rPr>
        <w:t>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31"/>
        <w:tabs>
          <w:tab w:val="left" w:pos="0"/>
        </w:tabs>
        <w:spacing w:before="0"/>
        <w:ind w:firstLine="480"/>
        <w:rPr>
          <w:rFonts w:ascii="宋体" w:cs="宋体"/>
          <w:color w:val="auto"/>
          <w:szCs w:val="24"/>
          <w:highlight w:val="none"/>
        </w:rPr>
      </w:pPr>
      <w:r>
        <w:rPr>
          <w:rFonts w:ascii="宋体" w:hAnsi="宋体" w:cs="宋体"/>
          <w:color w:val="auto"/>
          <w:szCs w:val="24"/>
          <w:highlight w:val="none"/>
        </w:rPr>
        <w:t>1.4</w:t>
      </w:r>
      <w:r>
        <w:rPr>
          <w:rFonts w:hint="eastAsia" w:ascii="宋体" w:hAnsi="宋体" w:cs="宋体"/>
          <w:color w:val="auto"/>
          <w:szCs w:val="24"/>
          <w:highlight w:val="none"/>
        </w:rPr>
        <w:t>磋商小组要求供应商澄清、说明或者更正响应文件应当以书面形式发出。供应商的澄清、说明或者更正应当由法定代表人或其授权代表签字或者加盖公章。由授权代表签字的，应当附法定代表人授权书。</w:t>
      </w:r>
    </w:p>
    <w:p>
      <w:pPr>
        <w:snapToGrid w:val="0"/>
        <w:spacing w:line="360" w:lineRule="auto"/>
        <w:ind w:firstLine="480"/>
        <w:rPr>
          <w:rFonts w:ascii="宋体" w:cs="宋体"/>
          <w:b/>
          <w:bCs/>
          <w:color w:val="auto"/>
          <w:sz w:val="24"/>
          <w:highlight w:val="none"/>
          <w:lang w:val="zh-CN"/>
        </w:rPr>
      </w:pPr>
      <w:r>
        <w:rPr>
          <w:rFonts w:ascii="宋体" w:hAnsi="宋体" w:cs="宋体"/>
          <w:b/>
          <w:bCs/>
          <w:color w:val="auto"/>
          <w:sz w:val="24"/>
          <w:highlight w:val="none"/>
        </w:rPr>
        <w:t>2</w:t>
      </w:r>
      <w:r>
        <w:rPr>
          <w:rFonts w:hint="eastAsia" w:ascii="宋体" w:hAnsi="宋体" w:cs="宋体"/>
          <w:b/>
          <w:bCs/>
          <w:color w:val="auto"/>
          <w:sz w:val="24"/>
          <w:highlight w:val="none"/>
          <w:lang w:val="zh-CN"/>
        </w:rPr>
        <w:t>、磋商</w:t>
      </w:r>
    </w:p>
    <w:p>
      <w:pPr>
        <w:snapToGrid w:val="0"/>
        <w:spacing w:line="360" w:lineRule="auto"/>
        <w:ind w:firstLine="480"/>
        <w:rPr>
          <w:rFonts w:ascii="宋体" w:cs="宋体"/>
          <w:color w:val="auto"/>
          <w:sz w:val="24"/>
          <w:highlight w:val="none"/>
        </w:rPr>
      </w:pPr>
      <w:r>
        <w:rPr>
          <w:rFonts w:ascii="宋体" w:hAnsi="宋体" w:cs="宋体"/>
          <w:color w:val="auto"/>
          <w:sz w:val="24"/>
          <w:highlight w:val="none"/>
        </w:rPr>
        <w:t xml:space="preserve">2.1 </w:t>
      </w:r>
      <w:r>
        <w:rPr>
          <w:rFonts w:hint="eastAsia" w:ascii="宋体" w:hAnsi="宋体" w:cs="宋体"/>
          <w:color w:val="auto"/>
          <w:sz w:val="24"/>
          <w:highlight w:val="none"/>
        </w:rPr>
        <w:t>初审合格的供应商进入下一步的磋商活动。</w:t>
      </w:r>
    </w:p>
    <w:p>
      <w:pPr>
        <w:snapToGrid w:val="0"/>
        <w:spacing w:line="360" w:lineRule="auto"/>
        <w:ind w:firstLine="480"/>
        <w:rPr>
          <w:rFonts w:ascii="宋体" w:cs="宋体"/>
          <w:color w:val="auto"/>
          <w:sz w:val="24"/>
          <w:highlight w:val="none"/>
        </w:rPr>
      </w:pPr>
      <w:r>
        <w:rPr>
          <w:rFonts w:ascii="宋体" w:hAnsi="宋体" w:cs="宋体"/>
          <w:color w:val="auto"/>
          <w:sz w:val="24"/>
          <w:highlight w:val="none"/>
        </w:rPr>
        <w:t xml:space="preserve">2.2 </w:t>
      </w:r>
      <w:r>
        <w:rPr>
          <w:rFonts w:hint="eastAsia" w:ascii="宋体" w:hAnsi="宋体" w:cs="宋体"/>
          <w:color w:val="auto"/>
          <w:sz w:val="24"/>
          <w:highlight w:val="none"/>
        </w:rPr>
        <w:t>磋商小组所有成员应当集中与单一供应商分别进行磋商，并给予所有参加磋商的供应商平等的磋商机会。</w:t>
      </w:r>
    </w:p>
    <w:p>
      <w:pPr>
        <w:snapToGrid w:val="0"/>
        <w:spacing w:line="360" w:lineRule="auto"/>
        <w:ind w:firstLine="480"/>
        <w:rPr>
          <w:rFonts w:ascii="宋体" w:cs="宋体"/>
          <w:color w:val="auto"/>
          <w:sz w:val="24"/>
          <w:highlight w:val="none"/>
        </w:rPr>
      </w:pPr>
      <w:r>
        <w:rPr>
          <w:rFonts w:ascii="宋体" w:hAnsi="宋体" w:cs="宋体"/>
          <w:color w:val="auto"/>
          <w:sz w:val="24"/>
          <w:highlight w:val="none"/>
        </w:rPr>
        <w:t xml:space="preserve">2.3 </w:t>
      </w:r>
      <w:r>
        <w:rPr>
          <w:rFonts w:hint="eastAsia" w:ascii="宋体" w:hAnsi="宋体" w:cs="宋体"/>
          <w:color w:val="auto"/>
          <w:sz w:val="24"/>
          <w:highlight w:val="none"/>
        </w:rPr>
        <w:t>以递交响应文件的时间先后决定磋商顺序。磋商时先听取由供应商拟派的项目负责人就项目采购的重点内容进行磋商，磋商过程中由磋商小组成员提出相关问题，并由供应商拟派项目负责人进行回复与承诺。</w:t>
      </w:r>
    </w:p>
    <w:p>
      <w:pPr>
        <w:snapToGrid w:val="0"/>
        <w:spacing w:line="360" w:lineRule="auto"/>
        <w:ind w:firstLine="480"/>
        <w:rPr>
          <w:rFonts w:ascii="宋体" w:cs="宋体"/>
          <w:color w:val="auto"/>
          <w:sz w:val="24"/>
          <w:highlight w:val="none"/>
        </w:rPr>
      </w:pPr>
      <w:r>
        <w:rPr>
          <w:rFonts w:ascii="宋体" w:hAnsi="宋体" w:cs="宋体"/>
          <w:color w:val="auto"/>
          <w:sz w:val="24"/>
          <w:highlight w:val="none"/>
        </w:rPr>
        <w:t xml:space="preserve">2.4 </w:t>
      </w:r>
      <w:r>
        <w:rPr>
          <w:rFonts w:hint="eastAsia" w:ascii="宋体" w:hAnsi="宋体" w:cs="宋体"/>
          <w:color w:val="auto"/>
          <w:sz w:val="24"/>
          <w:highlight w:val="none"/>
        </w:rPr>
        <w:t>在磋商过程中，磋商小组可以根据磋商文件和磋商情况实质性变动采购需求中的技术、服务要求以及合同草案条款。实质性变动的内容，须经采购人代表确认。</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 xml:space="preserve">2.5 </w:t>
      </w:r>
      <w:r>
        <w:rPr>
          <w:rFonts w:hint="eastAsia" w:ascii="宋体" w:hAnsi="宋体" w:cs="宋体"/>
          <w:color w:val="auto"/>
          <w:sz w:val="24"/>
          <w:highlight w:val="none"/>
        </w:rPr>
        <w:t>磋商文件作出的实质性变动是磋商文件的有效组成部分，磋商小组应当及时以书面形式同时通知所有参加磋商的供应商。</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 xml:space="preserve">2.6 </w:t>
      </w:r>
      <w:r>
        <w:rPr>
          <w:rFonts w:hint="eastAsia" w:ascii="宋体" w:hAnsi="宋体" w:cs="宋体"/>
          <w:color w:val="auto"/>
          <w:sz w:val="24"/>
          <w:highlight w:val="none"/>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 xml:space="preserve">2.7 </w:t>
      </w:r>
      <w:r>
        <w:rPr>
          <w:rFonts w:hint="eastAsia" w:ascii="宋体" w:hAnsi="宋体" w:cs="宋体"/>
          <w:color w:val="auto"/>
          <w:sz w:val="24"/>
          <w:highlight w:val="none"/>
        </w:rPr>
        <w:t>符合《政府采购竞争性磋商采购方式管理暂行办法》（财库〔</w:t>
      </w:r>
      <w:r>
        <w:rPr>
          <w:rFonts w:ascii="宋体" w:hAnsi="宋体" w:cs="宋体"/>
          <w:color w:val="auto"/>
          <w:sz w:val="24"/>
          <w:highlight w:val="none"/>
        </w:rPr>
        <w:t>2014</w:t>
      </w:r>
      <w:r>
        <w:rPr>
          <w:rFonts w:hint="eastAsia" w:ascii="宋体" w:hAnsi="宋体" w:cs="宋体"/>
          <w:color w:val="auto"/>
          <w:sz w:val="24"/>
          <w:highlight w:val="none"/>
        </w:rPr>
        <w:t>〕</w:t>
      </w:r>
      <w:r>
        <w:rPr>
          <w:rFonts w:ascii="宋体" w:hAnsi="宋体" w:cs="宋体"/>
          <w:color w:val="auto"/>
          <w:sz w:val="24"/>
          <w:highlight w:val="none"/>
        </w:rPr>
        <w:t>214</w:t>
      </w:r>
      <w:r>
        <w:rPr>
          <w:rFonts w:hint="eastAsia" w:ascii="宋体" w:hAnsi="宋体" w:cs="宋体"/>
          <w:color w:val="auto"/>
          <w:sz w:val="24"/>
          <w:highlight w:val="none"/>
        </w:rPr>
        <w:t>号）第三条第四项即“市场竞争不充分的科研项目，以及需要扶持的科技成果转化项目”情形的，提交最后报价的供应商可以为</w:t>
      </w:r>
      <w:r>
        <w:rPr>
          <w:rFonts w:ascii="宋体" w:hAnsi="宋体" w:cs="宋体"/>
          <w:color w:val="auto"/>
          <w:sz w:val="24"/>
          <w:highlight w:val="none"/>
        </w:rPr>
        <w:t>2</w:t>
      </w:r>
      <w:r>
        <w:rPr>
          <w:rFonts w:hint="eastAsia" w:ascii="宋体" w:hAnsi="宋体" w:cs="宋体"/>
          <w:color w:val="auto"/>
          <w:sz w:val="24"/>
          <w:highlight w:val="none"/>
        </w:rPr>
        <w:t>家。</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 xml:space="preserve">2.8 </w:t>
      </w:r>
      <w:r>
        <w:rPr>
          <w:rFonts w:hint="eastAsia" w:ascii="宋体" w:hAnsi="宋体" w:cs="宋体"/>
          <w:color w:val="auto"/>
          <w:sz w:val="24"/>
          <w:highlight w:val="none"/>
        </w:rPr>
        <w:t>采用竞争性磋商采购方式采购的政府购买服务项目（含政府和社会资本合作项目），在采购过程中符合要求的供应商（社会资本）只有</w:t>
      </w:r>
      <w:r>
        <w:rPr>
          <w:rFonts w:ascii="宋体" w:hAnsi="宋体" w:cs="宋体"/>
          <w:color w:val="auto"/>
          <w:sz w:val="24"/>
          <w:highlight w:val="none"/>
        </w:rPr>
        <w:t>2</w:t>
      </w:r>
      <w:r>
        <w:rPr>
          <w:rFonts w:hint="eastAsia" w:ascii="宋体" w:hAnsi="宋体" w:cs="宋体"/>
          <w:color w:val="auto"/>
          <w:sz w:val="24"/>
          <w:highlight w:val="none"/>
        </w:rPr>
        <w:t>家的，竞争性磋商采购活动可以继续进行。采购过程中符合要求的供应商（社会资本）只有</w:t>
      </w:r>
      <w:r>
        <w:rPr>
          <w:rFonts w:ascii="宋体" w:hAnsi="宋体" w:cs="宋体"/>
          <w:color w:val="auto"/>
          <w:sz w:val="24"/>
          <w:highlight w:val="none"/>
        </w:rPr>
        <w:t>1</w:t>
      </w:r>
      <w:r>
        <w:rPr>
          <w:rFonts w:hint="eastAsia" w:ascii="宋体" w:hAnsi="宋体" w:cs="宋体"/>
          <w:color w:val="auto"/>
          <w:sz w:val="24"/>
          <w:highlight w:val="none"/>
        </w:rPr>
        <w:t>家的，采购人（项目实施机构）或者采购代理机构应当终止竞争性磋商采购活动，发布项目终止公告并说明原因，重新开展采购活动。</w:t>
      </w:r>
    </w:p>
    <w:p>
      <w:pPr>
        <w:snapToGrid w:val="0"/>
        <w:spacing w:line="360" w:lineRule="auto"/>
        <w:ind w:firstLine="480"/>
        <w:rPr>
          <w:rFonts w:ascii="宋体" w:cs="宋体"/>
          <w:b/>
          <w:bCs/>
          <w:color w:val="auto"/>
          <w:sz w:val="24"/>
          <w:highlight w:val="none"/>
          <w:lang w:val="zh-CN"/>
        </w:rPr>
      </w:pPr>
      <w:r>
        <w:rPr>
          <w:rFonts w:ascii="宋体" w:hAnsi="宋体" w:cs="宋体"/>
          <w:b/>
          <w:bCs/>
          <w:color w:val="auto"/>
          <w:sz w:val="24"/>
          <w:highlight w:val="none"/>
        </w:rPr>
        <w:t>3</w:t>
      </w:r>
      <w:r>
        <w:rPr>
          <w:rFonts w:hint="eastAsia" w:ascii="宋体" w:hAnsi="宋体" w:cs="宋体"/>
          <w:b/>
          <w:bCs/>
          <w:color w:val="auto"/>
          <w:sz w:val="24"/>
          <w:highlight w:val="none"/>
          <w:lang w:val="zh-CN"/>
        </w:rPr>
        <w:t>、最后报价</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3.1</w:t>
      </w:r>
      <w:r>
        <w:rPr>
          <w:rFonts w:hint="eastAsia" w:ascii="宋体" w:hAnsi="宋体" w:cs="宋体"/>
          <w:color w:val="auto"/>
          <w:sz w:val="24"/>
          <w:szCs w:val="32"/>
          <w:highlight w:val="none"/>
        </w:rPr>
        <w:t>商务技术汇总后，供应商开启报价文件</w:t>
      </w:r>
      <w:r>
        <w:rPr>
          <w:rFonts w:hint="eastAsia" w:ascii="宋体" w:hAnsi="宋体" w:cs="宋体"/>
          <w:color w:val="auto"/>
          <w:sz w:val="24"/>
          <w:highlight w:val="none"/>
        </w:rPr>
        <w:t>，磋商小组应当要求所有实质性响应的供应商在规定时间内提交最后报价。</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3.2</w:t>
      </w:r>
      <w:r>
        <w:rPr>
          <w:rFonts w:hint="eastAsia" w:ascii="宋体" w:hAnsi="宋体" w:cs="宋体"/>
          <w:color w:val="auto"/>
          <w:sz w:val="24"/>
          <w:highlight w:val="none"/>
        </w:rPr>
        <w:t>最后报价是供应商响应文件的有效组成部分，若最后报价高于响应文件报价文件报价，则以第一次报价计入评分。</w:t>
      </w:r>
    </w:p>
    <w:p>
      <w:pPr>
        <w:snapToGrid w:val="0"/>
        <w:spacing w:line="360" w:lineRule="auto"/>
        <w:ind w:firstLine="480" w:firstLineChars="200"/>
        <w:rPr>
          <w:rFonts w:ascii="宋体" w:cs="宋体"/>
          <w:color w:val="auto"/>
          <w:sz w:val="24"/>
          <w:highlight w:val="none"/>
        </w:rPr>
      </w:pPr>
      <w:r>
        <w:rPr>
          <w:rFonts w:ascii="宋体" w:hAnsi="宋体" w:cs="宋体"/>
          <w:color w:val="auto"/>
          <w:sz w:val="24"/>
          <w:highlight w:val="none"/>
        </w:rPr>
        <w:t>3.3</w:t>
      </w:r>
      <w:r>
        <w:rPr>
          <w:rFonts w:hint="eastAsia" w:ascii="宋体" w:hAnsi="宋体" w:cs="宋体"/>
          <w:color w:val="auto"/>
          <w:sz w:val="24"/>
          <w:highlight w:val="none"/>
        </w:rPr>
        <w:t>已提交响应文件的供应商，在提交最后报价之前，若因磋商文件实质性变动导致供应商无法满足采购需求的，允许供应商退出磋商。</w:t>
      </w:r>
    </w:p>
    <w:p>
      <w:pPr>
        <w:pStyle w:val="3"/>
        <w:spacing w:line="360" w:lineRule="auto"/>
        <w:ind w:firstLine="482" w:firstLineChars="200"/>
        <w:rPr>
          <w:rFonts w:ascii="宋体" w:hAnsi="宋体" w:cs="宋体"/>
          <w:b/>
          <w:color w:val="auto"/>
          <w:sz w:val="24"/>
          <w:highlight w:val="none"/>
        </w:rPr>
      </w:pPr>
      <w:r>
        <w:rPr>
          <w:rFonts w:ascii="宋体" w:hAnsi="宋体" w:cs="宋体"/>
          <w:b/>
          <w:color w:val="auto"/>
          <w:sz w:val="24"/>
          <w:highlight w:val="none"/>
        </w:rPr>
        <w:t>4.</w:t>
      </w:r>
      <w:r>
        <w:rPr>
          <w:rFonts w:hint="eastAsia" w:ascii="宋体" w:hAnsi="宋体" w:cs="宋体"/>
          <w:b/>
          <w:color w:val="auto"/>
          <w:sz w:val="24"/>
          <w:highlight w:val="none"/>
        </w:rPr>
        <w:t>电子评标</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4.1磋商活动由采购代理机构主持,磋商响应截止时间后,供应商登录政采云平台对电子响应文件进行在线解密；</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4.2响应文件解密结束,开启响应文件,磋商小组对资格和商务技术响应文件进行资格审查和符合性审查；</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4.3供应商按递交磋商响应文件的前后顺序决定磋商的顺序,就价格、服务等认为需要磋商的内容进行磋商,供应商逐家回答磋商小组的提问,供应商作出最终承诺；</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4.4磋商小组对商务技术响应文件进行评审；</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4.5商务技术汇总后，供应商开启报价文件，进行磋商二次报价（最终报价），</w:t>
      </w:r>
      <w:r>
        <w:rPr>
          <w:rFonts w:hint="eastAsia" w:ascii="宋体" w:hAnsi="宋体" w:cs="宋体"/>
          <w:b/>
          <w:bCs/>
          <w:color w:val="auto"/>
          <w:sz w:val="24"/>
          <w:szCs w:val="32"/>
          <w:highlight w:val="none"/>
        </w:rPr>
        <w:t>如果供应商在规定时间30分钟内未提交第二次报价，视该供应商放弃本次投标，作无效标处理</w:t>
      </w:r>
      <w:r>
        <w:rPr>
          <w:rFonts w:hint="eastAsia" w:ascii="宋体" w:hAnsi="宋体" w:cs="宋体"/>
          <w:color w:val="auto"/>
          <w:sz w:val="24"/>
          <w:szCs w:val="32"/>
          <w:highlight w:val="none"/>
        </w:rPr>
        <w:t>；</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4.6在系统上开启最终报价情况；</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4.7磋商小组对报价情况进行评审；</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4.8在系统上公开资格和商务技术评审结果；</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4.9在系统上公布评审结果。</w:t>
      </w:r>
    </w:p>
    <w:p>
      <w:pPr>
        <w:pStyle w:val="3"/>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szCs w:val="32"/>
          <w:highlight w:val="none"/>
        </w:rPr>
        <w:t>4.10开标会结束。</w:t>
      </w:r>
    </w:p>
    <w:p>
      <w:pPr>
        <w:spacing w:line="360" w:lineRule="auto"/>
        <w:ind w:firstLine="480"/>
        <w:rPr>
          <w:rFonts w:ascii="宋体" w:hAnsi="宋体" w:cs="宋体"/>
          <w:b/>
          <w:color w:val="auto"/>
          <w:sz w:val="24"/>
          <w:highlight w:val="none"/>
        </w:rPr>
      </w:pPr>
      <w:r>
        <w:rPr>
          <w:rFonts w:hint="eastAsia" w:ascii="宋体" w:hAnsi="宋体" w:cs="宋体"/>
          <w:color w:val="auto"/>
          <w:sz w:val="24"/>
          <w:szCs w:val="32"/>
          <w:highlight w:val="none"/>
        </w:rPr>
        <w:t>特别说明:政采云如对电子化开标及评审程序有调整的,按调整后的程序操作。</w:t>
      </w:r>
    </w:p>
    <w:p>
      <w:pPr>
        <w:snapToGrid w:val="0"/>
        <w:spacing w:line="360" w:lineRule="auto"/>
        <w:ind w:firstLine="482" w:firstLineChars="200"/>
        <w:rPr>
          <w:rFonts w:ascii="宋体" w:cs="宋体"/>
          <w:b/>
          <w:color w:val="auto"/>
          <w:sz w:val="24"/>
          <w:highlight w:val="none"/>
        </w:rPr>
      </w:pPr>
      <w:r>
        <w:rPr>
          <w:rFonts w:hint="eastAsia" w:ascii="宋体" w:hAnsi="宋体" w:cs="宋体"/>
          <w:b/>
          <w:color w:val="auto"/>
          <w:sz w:val="24"/>
          <w:highlight w:val="none"/>
        </w:rPr>
        <w:t>5.综合评分</w:t>
      </w:r>
    </w:p>
    <w:p>
      <w:pPr>
        <w:tabs>
          <w:tab w:val="left" w:pos="-1080"/>
          <w:tab w:val="left" w:pos="180"/>
          <w:tab w:val="left" w:pos="1080"/>
        </w:tabs>
        <w:snapToGrid w:val="0"/>
        <w:spacing w:line="360" w:lineRule="auto"/>
        <w:ind w:firstLine="480"/>
        <w:rPr>
          <w:rFonts w:ascii="宋体" w:cs="宋体"/>
          <w:bCs/>
          <w:color w:val="auto"/>
          <w:kern w:val="0"/>
          <w:sz w:val="24"/>
          <w:highlight w:val="none"/>
        </w:rPr>
      </w:pPr>
      <w:r>
        <w:rPr>
          <w:rFonts w:hint="eastAsia" w:ascii="宋体" w:hAnsi="宋体" w:cs="宋体"/>
          <w:color w:val="auto"/>
          <w:sz w:val="24"/>
          <w:highlight w:val="none"/>
        </w:rPr>
        <w:t>5</w:t>
      </w:r>
      <w:r>
        <w:rPr>
          <w:rFonts w:ascii="宋体" w:hAnsi="宋体" w:cs="宋体"/>
          <w:color w:val="auto"/>
          <w:sz w:val="24"/>
          <w:highlight w:val="none"/>
        </w:rPr>
        <w:t>.1</w:t>
      </w:r>
      <w:r>
        <w:rPr>
          <w:rFonts w:hint="eastAsia" w:ascii="宋体" w:hAnsi="宋体" w:cs="宋体"/>
          <w:color w:val="auto"/>
          <w:sz w:val="24"/>
          <w:highlight w:val="none"/>
        </w:rPr>
        <w:t>本评标办法采用综合评标法，由商务技术分和</w:t>
      </w:r>
      <w:r>
        <w:rPr>
          <w:rFonts w:hint="eastAsia" w:ascii="宋体" w:hAnsi="宋体" w:cs="宋体"/>
          <w:color w:val="auto"/>
          <w:sz w:val="24"/>
          <w:highlight w:val="none"/>
          <w:lang w:val="en-US" w:eastAsia="zh-CN"/>
        </w:rPr>
        <w:t>商务</w:t>
      </w:r>
      <w:r>
        <w:rPr>
          <w:rFonts w:hint="eastAsia" w:ascii="宋体" w:hAnsi="宋体" w:cs="宋体"/>
          <w:color w:val="auto"/>
          <w:sz w:val="24"/>
          <w:highlight w:val="none"/>
        </w:rPr>
        <w:t>报价分合计组成，其中商务技术分</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80</w:t>
      </w:r>
      <w:r>
        <w:rPr>
          <w:rFonts w:hint="eastAsia" w:ascii="宋体" w:hAnsi="宋体" w:cs="宋体"/>
          <w:color w:val="auto"/>
          <w:sz w:val="24"/>
          <w:highlight w:val="none"/>
        </w:rPr>
        <w:t>分、</w:t>
      </w:r>
      <w:r>
        <w:rPr>
          <w:rFonts w:hint="eastAsia" w:ascii="宋体" w:hAnsi="宋体" w:cs="宋体"/>
          <w:color w:val="auto"/>
          <w:sz w:val="24"/>
          <w:highlight w:val="none"/>
          <w:lang w:val="en-US" w:eastAsia="zh-CN"/>
        </w:rPr>
        <w:t>商务</w:t>
      </w:r>
      <w:r>
        <w:rPr>
          <w:rFonts w:hint="eastAsia" w:ascii="宋体" w:hAnsi="宋体" w:cs="宋体"/>
          <w:color w:val="auto"/>
          <w:sz w:val="24"/>
          <w:highlight w:val="none"/>
        </w:rPr>
        <w:t>报价分</w:t>
      </w:r>
      <w:r>
        <w:rPr>
          <w:rFonts w:hint="eastAsia" w:ascii="宋体" w:hAnsi="宋体" w:cs="宋体"/>
          <w:color w:val="auto"/>
          <w:sz w:val="24"/>
          <w:highlight w:val="none"/>
          <w:u w:val="single"/>
          <w:lang w:val="en-US" w:eastAsia="zh-CN"/>
        </w:rPr>
        <w:t>20</w:t>
      </w:r>
      <w:r>
        <w:rPr>
          <w:rFonts w:hint="eastAsia" w:ascii="宋体" w:hAnsi="宋体" w:cs="宋体"/>
          <w:color w:val="auto"/>
          <w:sz w:val="24"/>
          <w:highlight w:val="none"/>
        </w:rPr>
        <w:t>分；满分为</w:t>
      </w:r>
      <w:r>
        <w:rPr>
          <w:rFonts w:ascii="宋体" w:hAnsi="宋体" w:cs="宋体"/>
          <w:color w:val="auto"/>
          <w:sz w:val="24"/>
          <w:highlight w:val="none"/>
        </w:rPr>
        <w:t>100</w:t>
      </w:r>
      <w:r>
        <w:rPr>
          <w:rFonts w:hint="eastAsia" w:ascii="宋体" w:hAnsi="宋体" w:cs="宋体"/>
          <w:color w:val="auto"/>
          <w:sz w:val="24"/>
          <w:highlight w:val="none"/>
        </w:rPr>
        <w:t>分。</w:t>
      </w:r>
    </w:p>
    <w:p>
      <w:pPr>
        <w:spacing w:line="360" w:lineRule="auto"/>
        <w:ind w:firstLine="480"/>
        <w:rPr>
          <w:rFonts w:asci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.2</w:t>
      </w:r>
      <w:r>
        <w:rPr>
          <w:rFonts w:hint="eastAsia" w:ascii="宋体" w:hAnsi="宋体" w:cs="宋体"/>
          <w:color w:val="auto"/>
          <w:sz w:val="24"/>
          <w:highlight w:val="none"/>
        </w:rPr>
        <w:t>经初步评审合格的响应文件，磋商小组根据竞争性磋商文件确定的评审标准和方法，对其商务技术部分作进一步评审、比较、打分。</w:t>
      </w:r>
    </w:p>
    <w:p>
      <w:pPr>
        <w:pStyle w:val="14"/>
        <w:spacing w:line="360" w:lineRule="auto"/>
        <w:ind w:firstLine="480" w:firstLineChars="200"/>
        <w:rPr>
          <w:rFonts w:hAnsi="宋体" w:cs="宋体"/>
          <w:color w:val="auto"/>
          <w:sz w:val="24"/>
          <w:szCs w:val="32"/>
          <w:highlight w:val="none"/>
        </w:rPr>
      </w:pPr>
      <w:r>
        <w:rPr>
          <w:rFonts w:hint="eastAsia" w:hAnsi="宋体" w:cs="宋体"/>
          <w:color w:val="auto"/>
          <w:sz w:val="24"/>
          <w:szCs w:val="32"/>
          <w:highlight w:val="none"/>
        </w:rPr>
        <w:t>5</w:t>
      </w:r>
      <w:r>
        <w:rPr>
          <w:rFonts w:hAnsi="宋体" w:cs="宋体"/>
          <w:color w:val="auto"/>
          <w:sz w:val="24"/>
          <w:szCs w:val="32"/>
          <w:highlight w:val="none"/>
        </w:rPr>
        <w:t>.3</w:t>
      </w:r>
      <w:r>
        <w:rPr>
          <w:rFonts w:hint="eastAsia" w:hAnsi="宋体" w:cs="宋体"/>
          <w:color w:val="auto"/>
          <w:sz w:val="24"/>
          <w:szCs w:val="32"/>
          <w:highlight w:val="none"/>
        </w:rPr>
        <w:t>磋商小组成员首先分别对每个供应商商务技术部分进行评审打分，然后计算出算术平均值（保留</w:t>
      </w:r>
      <w:r>
        <w:rPr>
          <w:rFonts w:hAnsi="宋体" w:cs="宋体"/>
          <w:color w:val="auto"/>
          <w:sz w:val="24"/>
          <w:szCs w:val="32"/>
          <w:highlight w:val="none"/>
        </w:rPr>
        <w:t>2</w:t>
      </w:r>
      <w:r>
        <w:rPr>
          <w:rFonts w:hint="eastAsia" w:hAnsi="宋体" w:cs="宋体"/>
          <w:color w:val="auto"/>
          <w:sz w:val="24"/>
          <w:szCs w:val="32"/>
          <w:highlight w:val="none"/>
        </w:rPr>
        <w:t>位小数），即为供应商的商务技术得分，后计算二次报价，计算公式：投标价格分</w:t>
      </w:r>
      <w:r>
        <w:rPr>
          <w:rFonts w:hAnsi="宋体" w:cs="宋体"/>
          <w:color w:val="auto"/>
          <w:sz w:val="24"/>
          <w:szCs w:val="32"/>
          <w:highlight w:val="none"/>
        </w:rPr>
        <w:t>=(</w:t>
      </w:r>
      <w:r>
        <w:rPr>
          <w:rFonts w:hint="eastAsia" w:hAnsi="宋体" w:cs="宋体"/>
          <w:color w:val="auto"/>
          <w:sz w:val="24"/>
          <w:szCs w:val="32"/>
          <w:highlight w:val="none"/>
        </w:rPr>
        <w:t>最佳报价</w:t>
      </w:r>
      <w:r>
        <w:rPr>
          <w:rFonts w:hAnsi="宋体" w:cs="宋体"/>
          <w:color w:val="auto"/>
          <w:sz w:val="24"/>
          <w:szCs w:val="32"/>
          <w:highlight w:val="none"/>
        </w:rPr>
        <w:t>/</w:t>
      </w:r>
      <w:r>
        <w:rPr>
          <w:rFonts w:hint="eastAsia" w:hAnsi="宋体" w:cs="宋体"/>
          <w:color w:val="auto"/>
          <w:sz w:val="24"/>
          <w:szCs w:val="32"/>
          <w:highlight w:val="none"/>
        </w:rPr>
        <w:t>投标报价</w:t>
      </w:r>
      <w:r>
        <w:rPr>
          <w:rFonts w:hAnsi="宋体" w:cs="宋体"/>
          <w:color w:val="auto"/>
          <w:sz w:val="24"/>
          <w:szCs w:val="32"/>
          <w:highlight w:val="none"/>
        </w:rPr>
        <w:t>)*</w:t>
      </w:r>
      <w:r>
        <w:rPr>
          <w:rFonts w:hint="eastAsia" w:hAnsi="宋体" w:cs="宋体"/>
          <w:color w:val="auto"/>
          <w:sz w:val="24"/>
          <w:szCs w:val="32"/>
          <w:highlight w:val="none"/>
        </w:rPr>
        <w:t>价格权值</w:t>
      </w:r>
      <w:r>
        <w:rPr>
          <w:rFonts w:hAnsi="宋体" w:cs="宋体"/>
          <w:color w:val="auto"/>
          <w:sz w:val="24"/>
          <w:szCs w:val="32"/>
          <w:highlight w:val="none"/>
        </w:rPr>
        <w:t>*100</w:t>
      </w:r>
      <w:r>
        <w:rPr>
          <w:rFonts w:hint="eastAsia" w:hAnsi="宋体" w:cs="宋体"/>
          <w:color w:val="auto"/>
          <w:sz w:val="24"/>
          <w:szCs w:val="32"/>
          <w:highlight w:val="none"/>
        </w:rPr>
        <w:t>。综合得分</w:t>
      </w:r>
      <w:r>
        <w:rPr>
          <w:rFonts w:hAnsi="宋体" w:cs="宋体"/>
          <w:color w:val="auto"/>
          <w:sz w:val="24"/>
          <w:szCs w:val="32"/>
          <w:highlight w:val="none"/>
        </w:rPr>
        <w:t>=</w:t>
      </w:r>
      <w:r>
        <w:rPr>
          <w:rFonts w:hint="eastAsia" w:hAnsi="宋体" w:cs="宋体"/>
          <w:color w:val="auto"/>
          <w:sz w:val="24"/>
          <w:szCs w:val="32"/>
          <w:highlight w:val="none"/>
        </w:rPr>
        <w:t>商务技术分</w:t>
      </w:r>
      <w:r>
        <w:rPr>
          <w:rFonts w:hAnsi="宋体" w:cs="宋体"/>
          <w:color w:val="auto"/>
          <w:sz w:val="24"/>
          <w:szCs w:val="32"/>
          <w:highlight w:val="none"/>
        </w:rPr>
        <w:t>+</w:t>
      </w:r>
      <w:r>
        <w:rPr>
          <w:rFonts w:hint="eastAsia" w:hAnsi="宋体" w:cs="宋体"/>
          <w:color w:val="auto"/>
          <w:sz w:val="24"/>
          <w:szCs w:val="32"/>
          <w:highlight w:val="none"/>
        </w:rPr>
        <w:t>报价分，以综合得分（保留</w:t>
      </w:r>
      <w:r>
        <w:rPr>
          <w:rFonts w:hAnsi="宋体" w:cs="宋体"/>
          <w:color w:val="auto"/>
          <w:sz w:val="24"/>
          <w:szCs w:val="32"/>
          <w:highlight w:val="none"/>
        </w:rPr>
        <w:t>2</w:t>
      </w:r>
      <w:r>
        <w:rPr>
          <w:rFonts w:hint="eastAsia" w:hAnsi="宋体" w:cs="宋体"/>
          <w:color w:val="auto"/>
          <w:sz w:val="24"/>
          <w:szCs w:val="32"/>
          <w:highlight w:val="none"/>
        </w:rPr>
        <w:t>位小数）由高到低进行排序后推荐第一名为成交供应商候选人；得分相同的，按报价由低到高的顺序排列；得分且报价相同的，在响应文件满足磋商文件全部实质性要求前提下，按照评审因素的量化指标评审得分最高的供应商；确定成交供应商候选人，并提交评审结果。</w:t>
      </w:r>
    </w:p>
    <w:p>
      <w:pPr>
        <w:pStyle w:val="14"/>
        <w:spacing w:line="360" w:lineRule="auto"/>
        <w:ind w:left="420" w:leftChars="200"/>
        <w:rPr>
          <w:rFonts w:hAnsi="宋体" w:cs="宋体"/>
          <w:b/>
          <w:color w:val="auto"/>
          <w:sz w:val="24"/>
          <w:szCs w:val="24"/>
          <w:highlight w:val="none"/>
        </w:rPr>
      </w:pPr>
      <w:r>
        <w:rPr>
          <w:rFonts w:hint="eastAsia" w:hAnsi="宋体" w:cs="宋体"/>
          <w:b/>
          <w:color w:val="auto"/>
          <w:sz w:val="24"/>
          <w:szCs w:val="24"/>
          <w:highlight w:val="none"/>
        </w:rPr>
        <w:t>6、修正原则</w:t>
      </w:r>
    </w:p>
    <w:p>
      <w:pPr>
        <w:pStyle w:val="31"/>
        <w:spacing w:before="0"/>
        <w:ind w:left="420" w:leftChars="200" w:firstLine="0" w:firstLineChars="0"/>
        <w:rPr>
          <w:rFonts w:ascii="宋体" w:cs="宋体"/>
          <w:color w:val="auto"/>
          <w:szCs w:val="24"/>
          <w:highlight w:val="none"/>
          <w:lang w:val="zh-CN"/>
        </w:rPr>
      </w:pPr>
      <w:r>
        <w:rPr>
          <w:rFonts w:hint="eastAsia" w:ascii="宋体" w:hAnsi="宋体" w:cs="宋体"/>
          <w:color w:val="auto"/>
          <w:szCs w:val="24"/>
          <w:highlight w:val="none"/>
        </w:rPr>
        <w:t>响应</w:t>
      </w:r>
      <w:r>
        <w:rPr>
          <w:rFonts w:hint="eastAsia" w:ascii="宋体" w:hAnsi="宋体" w:cs="宋体"/>
          <w:color w:val="auto"/>
          <w:szCs w:val="24"/>
          <w:highlight w:val="none"/>
          <w:lang w:val="zh-CN"/>
        </w:rPr>
        <w:t>文件报价出现前后不一致的，按照下列规定修正：</w:t>
      </w:r>
    </w:p>
    <w:p>
      <w:pPr>
        <w:pStyle w:val="31"/>
        <w:tabs>
          <w:tab w:val="left" w:pos="0"/>
        </w:tabs>
        <w:spacing w:before="0"/>
        <w:ind w:firstLine="480"/>
        <w:rPr>
          <w:rFonts w:ascii="宋体" w:cs="宋体"/>
          <w:color w:val="auto"/>
          <w:szCs w:val="24"/>
          <w:highlight w:val="none"/>
          <w:lang w:val="zh-CN"/>
        </w:rPr>
      </w:pPr>
      <w:r>
        <w:rPr>
          <w:rFonts w:hint="eastAsia" w:ascii="宋体" w:hAnsi="宋体" w:cs="宋体"/>
          <w:color w:val="auto"/>
          <w:szCs w:val="24"/>
          <w:highlight w:val="none"/>
        </w:rPr>
        <w:t>6.1响应</w:t>
      </w:r>
      <w:r>
        <w:rPr>
          <w:rFonts w:hint="eastAsia" w:ascii="宋体" w:hAnsi="宋体" w:cs="宋体"/>
          <w:color w:val="auto"/>
          <w:szCs w:val="24"/>
          <w:highlight w:val="none"/>
          <w:lang w:val="zh-CN"/>
        </w:rPr>
        <w:t>文件中</w:t>
      </w:r>
      <w:r>
        <w:rPr>
          <w:rFonts w:hint="eastAsia" w:ascii="宋体" w:hAnsi="宋体" w:cs="宋体"/>
          <w:color w:val="auto"/>
          <w:szCs w:val="24"/>
          <w:highlight w:val="none"/>
        </w:rPr>
        <w:t>报价</w:t>
      </w:r>
      <w:r>
        <w:rPr>
          <w:rFonts w:hint="eastAsia" w:ascii="宋体" w:hAnsi="宋体" w:cs="宋体"/>
          <w:color w:val="auto"/>
          <w:szCs w:val="24"/>
          <w:highlight w:val="none"/>
          <w:lang w:val="zh-CN"/>
        </w:rPr>
        <w:t>一览表内容与</w:t>
      </w:r>
      <w:r>
        <w:rPr>
          <w:rFonts w:hint="eastAsia" w:ascii="宋体" w:hAnsi="宋体" w:cs="宋体"/>
          <w:color w:val="auto"/>
          <w:szCs w:val="24"/>
          <w:highlight w:val="none"/>
        </w:rPr>
        <w:t>响应</w:t>
      </w:r>
      <w:r>
        <w:rPr>
          <w:rFonts w:hint="eastAsia" w:ascii="宋体" w:hAnsi="宋体" w:cs="宋体"/>
          <w:color w:val="auto"/>
          <w:szCs w:val="24"/>
          <w:highlight w:val="none"/>
          <w:lang w:val="zh-CN"/>
        </w:rPr>
        <w:t>文件中相应内容不一致的，以</w:t>
      </w:r>
      <w:r>
        <w:rPr>
          <w:rFonts w:hint="eastAsia" w:ascii="宋体" w:hAnsi="宋体" w:cs="宋体"/>
          <w:color w:val="auto"/>
          <w:szCs w:val="24"/>
          <w:highlight w:val="none"/>
        </w:rPr>
        <w:t>报价</w:t>
      </w:r>
      <w:r>
        <w:rPr>
          <w:rFonts w:hint="eastAsia" w:ascii="宋体" w:hAnsi="宋体" w:cs="宋体"/>
          <w:color w:val="auto"/>
          <w:szCs w:val="24"/>
          <w:highlight w:val="none"/>
          <w:lang w:val="zh-CN"/>
        </w:rPr>
        <w:t>一览表为准；</w:t>
      </w:r>
    </w:p>
    <w:p>
      <w:pPr>
        <w:pStyle w:val="31"/>
        <w:tabs>
          <w:tab w:val="left" w:pos="0"/>
        </w:tabs>
        <w:spacing w:before="0"/>
        <w:ind w:firstLine="480"/>
        <w:rPr>
          <w:rFonts w:ascii="宋体" w:cs="宋体"/>
          <w:color w:val="auto"/>
          <w:szCs w:val="24"/>
          <w:highlight w:val="none"/>
          <w:lang w:val="zh-CN"/>
        </w:rPr>
      </w:pPr>
      <w:r>
        <w:rPr>
          <w:rFonts w:hint="eastAsia" w:ascii="宋体" w:hAnsi="宋体" w:cs="宋体"/>
          <w:color w:val="auto"/>
          <w:szCs w:val="24"/>
          <w:highlight w:val="none"/>
        </w:rPr>
        <w:t>6.2</w:t>
      </w:r>
      <w:r>
        <w:rPr>
          <w:rFonts w:hint="eastAsia" w:ascii="宋体" w:hAnsi="宋体" w:cs="宋体"/>
          <w:color w:val="auto"/>
          <w:szCs w:val="24"/>
          <w:highlight w:val="none"/>
          <w:lang w:val="zh-CN"/>
        </w:rPr>
        <w:t>大写金额和小写金额不一致的，以大写金额为准；</w:t>
      </w:r>
    </w:p>
    <w:p>
      <w:pPr>
        <w:pStyle w:val="31"/>
        <w:tabs>
          <w:tab w:val="left" w:pos="0"/>
        </w:tabs>
        <w:spacing w:before="0"/>
        <w:ind w:firstLine="480"/>
        <w:rPr>
          <w:rFonts w:ascii="宋体" w:cs="宋体"/>
          <w:color w:val="auto"/>
          <w:szCs w:val="24"/>
          <w:highlight w:val="none"/>
          <w:lang w:val="zh-CN"/>
        </w:rPr>
      </w:pPr>
      <w:r>
        <w:rPr>
          <w:rFonts w:hint="eastAsia" w:ascii="宋体" w:hAnsi="宋体" w:cs="宋体"/>
          <w:color w:val="auto"/>
          <w:szCs w:val="24"/>
          <w:highlight w:val="none"/>
        </w:rPr>
        <w:t>6.3</w:t>
      </w:r>
      <w:r>
        <w:rPr>
          <w:rFonts w:hint="eastAsia" w:ascii="宋体" w:hAnsi="宋体" w:cs="宋体"/>
          <w:color w:val="auto"/>
          <w:szCs w:val="24"/>
          <w:highlight w:val="none"/>
          <w:lang w:val="zh-CN"/>
        </w:rPr>
        <w:t>单价金额小数点或者百分比有明显错位的，以</w:t>
      </w:r>
      <w:r>
        <w:rPr>
          <w:rFonts w:hint="eastAsia" w:ascii="宋体" w:hAnsi="宋体" w:cs="宋体"/>
          <w:color w:val="auto"/>
          <w:szCs w:val="24"/>
          <w:highlight w:val="none"/>
        </w:rPr>
        <w:t>报价</w:t>
      </w:r>
      <w:r>
        <w:rPr>
          <w:rFonts w:hint="eastAsia" w:ascii="宋体" w:hAnsi="宋体" w:cs="宋体"/>
          <w:color w:val="auto"/>
          <w:szCs w:val="24"/>
          <w:highlight w:val="none"/>
          <w:lang w:val="zh-CN"/>
        </w:rPr>
        <w:t>一览表的总价为准，并修改单价；</w:t>
      </w:r>
    </w:p>
    <w:p>
      <w:pPr>
        <w:pStyle w:val="31"/>
        <w:tabs>
          <w:tab w:val="left" w:pos="0"/>
        </w:tabs>
        <w:spacing w:before="0"/>
        <w:ind w:firstLine="480"/>
        <w:rPr>
          <w:rFonts w:ascii="宋体" w:cs="宋体"/>
          <w:color w:val="auto"/>
          <w:szCs w:val="24"/>
          <w:highlight w:val="none"/>
          <w:lang w:val="zh-CN"/>
        </w:rPr>
      </w:pPr>
      <w:r>
        <w:rPr>
          <w:rFonts w:hint="eastAsia" w:ascii="宋体" w:hAnsi="宋体" w:cs="宋体"/>
          <w:color w:val="auto"/>
          <w:szCs w:val="24"/>
          <w:highlight w:val="none"/>
        </w:rPr>
        <w:t>6.4</w:t>
      </w:r>
      <w:r>
        <w:rPr>
          <w:rFonts w:hint="eastAsia" w:ascii="宋体" w:hAnsi="宋体" w:cs="宋体"/>
          <w:color w:val="auto"/>
          <w:szCs w:val="24"/>
          <w:highlight w:val="none"/>
          <w:lang w:val="zh-CN"/>
        </w:rPr>
        <w:t>总价金额与按单价汇总金额不一致的，以单价金额计算结果为准。</w:t>
      </w:r>
    </w:p>
    <w:p>
      <w:pPr>
        <w:pStyle w:val="31"/>
        <w:spacing w:before="0"/>
        <w:ind w:firstLine="480"/>
        <w:rPr>
          <w:rFonts w:ascii="宋体" w:cs="宋体"/>
          <w:color w:val="auto"/>
          <w:szCs w:val="24"/>
          <w:highlight w:val="none"/>
          <w:lang w:val="zh-CN"/>
        </w:rPr>
      </w:pPr>
      <w:r>
        <w:rPr>
          <w:rFonts w:hint="eastAsia" w:ascii="宋体" w:hAnsi="宋体" w:cs="宋体"/>
          <w:color w:val="auto"/>
          <w:szCs w:val="24"/>
          <w:highlight w:val="none"/>
          <w:lang w:val="zh-CN"/>
        </w:rPr>
        <w:t>同时出现两种以上不一致的，按照前款规定的顺序修正。修正后的报价按照财政部公布第</w:t>
      </w:r>
      <w:r>
        <w:rPr>
          <w:rFonts w:ascii="宋体" w:hAnsi="宋体" w:cs="宋体"/>
          <w:color w:val="auto"/>
          <w:szCs w:val="24"/>
          <w:highlight w:val="none"/>
          <w:lang w:val="zh-CN"/>
        </w:rPr>
        <w:t>87</w:t>
      </w:r>
      <w:r>
        <w:rPr>
          <w:rFonts w:hint="eastAsia" w:ascii="宋体" w:hAnsi="宋体" w:cs="宋体"/>
          <w:color w:val="auto"/>
          <w:szCs w:val="24"/>
          <w:highlight w:val="none"/>
          <w:lang w:val="zh-CN"/>
        </w:rPr>
        <w:t>号令《政府采购产品和服务招标投标管理办法》第五十一条第二款的规定经</w:t>
      </w:r>
      <w:r>
        <w:rPr>
          <w:rFonts w:hint="eastAsia" w:ascii="宋体" w:hAnsi="宋体" w:cs="宋体"/>
          <w:color w:val="auto"/>
          <w:szCs w:val="24"/>
          <w:highlight w:val="none"/>
        </w:rPr>
        <w:t>供应商</w:t>
      </w:r>
      <w:r>
        <w:rPr>
          <w:rFonts w:hint="eastAsia" w:ascii="宋体" w:hAnsi="宋体" w:cs="宋体"/>
          <w:color w:val="auto"/>
          <w:szCs w:val="24"/>
          <w:highlight w:val="none"/>
          <w:lang w:val="zh-CN"/>
        </w:rPr>
        <w:t>确认后产生约束力，</w:t>
      </w:r>
      <w:r>
        <w:rPr>
          <w:rFonts w:hint="eastAsia" w:ascii="宋体" w:hAnsi="宋体" w:cs="宋体"/>
          <w:color w:val="auto"/>
          <w:szCs w:val="24"/>
          <w:highlight w:val="none"/>
        </w:rPr>
        <w:t>供应商</w:t>
      </w:r>
      <w:r>
        <w:rPr>
          <w:rFonts w:hint="eastAsia" w:ascii="宋体" w:hAnsi="宋体" w:cs="宋体"/>
          <w:color w:val="auto"/>
          <w:szCs w:val="24"/>
          <w:highlight w:val="none"/>
          <w:lang w:val="zh-CN"/>
        </w:rPr>
        <w:t>不确认的，其</w:t>
      </w:r>
      <w:r>
        <w:rPr>
          <w:rFonts w:hint="eastAsia" w:ascii="宋体" w:hAnsi="宋体" w:cs="宋体"/>
          <w:color w:val="auto"/>
          <w:szCs w:val="24"/>
          <w:highlight w:val="none"/>
        </w:rPr>
        <w:t>磋商</w:t>
      </w:r>
      <w:r>
        <w:rPr>
          <w:rFonts w:hint="eastAsia" w:ascii="宋体" w:hAnsi="宋体" w:cs="宋体"/>
          <w:color w:val="auto"/>
          <w:szCs w:val="24"/>
          <w:highlight w:val="none"/>
          <w:lang w:val="zh-CN"/>
        </w:rPr>
        <w:t>无效。</w:t>
      </w:r>
    </w:p>
    <w:p>
      <w:pPr>
        <w:pStyle w:val="14"/>
        <w:spacing w:line="360" w:lineRule="auto"/>
        <w:ind w:left="420" w:leftChars="200"/>
        <w:rPr>
          <w:rFonts w:hAnsi="宋体" w:cs="宋体"/>
          <w:b/>
          <w:color w:val="auto"/>
          <w:sz w:val="24"/>
          <w:szCs w:val="24"/>
          <w:highlight w:val="none"/>
        </w:rPr>
      </w:pPr>
      <w:r>
        <w:rPr>
          <w:rFonts w:hint="eastAsia" w:hAnsi="宋体" w:cs="宋体"/>
          <w:b/>
          <w:color w:val="auto"/>
          <w:sz w:val="24"/>
          <w:szCs w:val="24"/>
          <w:highlight w:val="none"/>
        </w:rPr>
        <w:t>7、响应文件的澄清</w:t>
      </w:r>
    </w:p>
    <w:p>
      <w:pPr>
        <w:pStyle w:val="31"/>
        <w:tabs>
          <w:tab w:val="left" w:pos="0"/>
        </w:tabs>
        <w:spacing w:before="0"/>
        <w:ind w:firstLine="480"/>
        <w:rPr>
          <w:rFonts w:ascii="宋体" w:cs="宋体"/>
          <w:color w:val="auto"/>
          <w:szCs w:val="24"/>
          <w:highlight w:val="none"/>
          <w:lang w:val="zh-CN"/>
        </w:rPr>
      </w:pPr>
      <w:r>
        <w:rPr>
          <w:rFonts w:hint="eastAsia" w:ascii="宋体" w:hAnsi="宋体" w:cs="宋体"/>
          <w:color w:val="auto"/>
          <w:szCs w:val="24"/>
          <w:highlight w:val="none"/>
        </w:rPr>
        <w:t>7.1</w:t>
      </w:r>
      <w:r>
        <w:rPr>
          <w:rFonts w:hint="eastAsia" w:ascii="宋体" w:hAnsi="宋体" w:cs="宋体"/>
          <w:color w:val="auto"/>
          <w:szCs w:val="24"/>
          <w:highlight w:val="none"/>
          <w:lang w:val="zh-CN"/>
        </w:rPr>
        <w:t>评审中因</w:t>
      </w:r>
      <w:r>
        <w:rPr>
          <w:rFonts w:hint="eastAsia" w:ascii="宋体" w:hAnsi="宋体" w:cs="宋体"/>
          <w:color w:val="auto"/>
          <w:szCs w:val="24"/>
          <w:highlight w:val="none"/>
        </w:rPr>
        <w:t>响应</w:t>
      </w:r>
      <w:r>
        <w:rPr>
          <w:rFonts w:hint="eastAsia" w:ascii="宋体" w:hAnsi="宋体" w:cs="宋体"/>
          <w:color w:val="auto"/>
          <w:szCs w:val="24"/>
          <w:highlight w:val="none"/>
          <w:lang w:val="zh-CN"/>
        </w:rPr>
        <w:t>文件含义不明、表述不一致或有明显计算错误等内容需要供应商作出澄清、说明或者补正的，</w:t>
      </w:r>
      <w:r>
        <w:rPr>
          <w:rFonts w:hint="eastAsia" w:ascii="宋体" w:hAnsi="宋体" w:cs="宋体"/>
          <w:color w:val="auto"/>
          <w:szCs w:val="24"/>
          <w:highlight w:val="none"/>
        </w:rPr>
        <w:t>磋商小组</w:t>
      </w:r>
      <w:r>
        <w:rPr>
          <w:rFonts w:hint="eastAsia" w:ascii="宋体" w:hAnsi="宋体" w:cs="宋体"/>
          <w:color w:val="auto"/>
          <w:szCs w:val="24"/>
          <w:highlight w:val="none"/>
          <w:lang w:val="zh-CN"/>
        </w:rPr>
        <w:t>和供应商应当通过政采云平台交换数据电文，给予供应商提交澄清说明或补正的时间不少于半小时，供应商已经明确表示澄清说明或补正完毕的除外。</w:t>
      </w:r>
    </w:p>
    <w:p>
      <w:pPr>
        <w:spacing w:line="360" w:lineRule="auto"/>
        <w:ind w:firstLine="480" w:firstLineChars="200"/>
        <w:rPr>
          <w:rFonts w:ascii="宋体" w:hAnsi="宋体" w:cs="宋体"/>
          <w:color w:val="auto"/>
          <w:sz w:val="24"/>
          <w:szCs w:val="32"/>
          <w:highlight w:val="none"/>
        </w:rPr>
      </w:pPr>
      <w:r>
        <w:rPr>
          <w:rFonts w:hint="eastAsia" w:ascii="宋体" w:hAnsi="宋体" w:cs="宋体"/>
          <w:color w:val="auto"/>
          <w:sz w:val="24"/>
          <w:highlight w:val="none"/>
          <w:lang w:val="zh-CN"/>
        </w:rPr>
        <w:t>供应商通过政采云平台交换的数据电文必须进行电子签章。</w:t>
      </w:r>
    </w:p>
    <w:p>
      <w:pPr>
        <w:pStyle w:val="2"/>
        <w:jc w:val="center"/>
        <w:rPr>
          <w:color w:val="auto"/>
          <w:highlight w:val="none"/>
        </w:rPr>
      </w:pPr>
      <w:bookmarkStart w:id="74" w:name="_Toc18995"/>
      <w:r>
        <w:rPr>
          <w:rFonts w:hint="eastAsia"/>
          <w:color w:val="auto"/>
          <w:highlight w:val="none"/>
        </w:rPr>
        <w:t>三、注意事项</w:t>
      </w:r>
      <w:bookmarkEnd w:id="74"/>
    </w:p>
    <w:p>
      <w:pPr>
        <w:pStyle w:val="3"/>
        <w:spacing w:line="360" w:lineRule="auto"/>
        <w:rPr>
          <w:b/>
          <w:bCs/>
          <w:color w:val="auto"/>
          <w:sz w:val="24"/>
          <w:szCs w:val="22"/>
          <w:highlight w:val="none"/>
        </w:rPr>
      </w:pPr>
      <w:r>
        <w:rPr>
          <w:b/>
          <w:bCs/>
          <w:color w:val="auto"/>
          <w:sz w:val="24"/>
          <w:szCs w:val="22"/>
          <w:highlight w:val="none"/>
        </w:rPr>
        <w:t>评审时如发现供应商的报价明显低于其他通过符合性审查供应商的报价，有可能影响产品质量或者不能诚信履约的，磋商小组可要求该供应商书面说明并提供相关证明材料。该供应商不能合理说明原因并提供证明材料的，评审小组应将该供应商的</w:t>
      </w:r>
      <w:r>
        <w:rPr>
          <w:rFonts w:hint="eastAsia"/>
          <w:b/>
          <w:bCs/>
          <w:color w:val="auto"/>
          <w:sz w:val="24"/>
          <w:szCs w:val="22"/>
          <w:highlight w:val="none"/>
        </w:rPr>
        <w:t>磋商</w:t>
      </w:r>
      <w:r>
        <w:rPr>
          <w:b/>
          <w:bCs/>
          <w:color w:val="auto"/>
          <w:sz w:val="24"/>
          <w:szCs w:val="22"/>
          <w:highlight w:val="none"/>
        </w:rPr>
        <w:t>响应文件作无效处理，同时采购组织机构应将该情况报同级财政部门，并视情将其列入不良供应商名单。</w:t>
      </w:r>
    </w:p>
    <w:p>
      <w:pPr>
        <w:pStyle w:val="2"/>
        <w:numPr>
          <w:ilvl w:val="0"/>
          <w:numId w:val="18"/>
        </w:numPr>
        <w:jc w:val="center"/>
        <w:rPr>
          <w:color w:val="auto"/>
          <w:highlight w:val="none"/>
        </w:rPr>
      </w:pPr>
      <w:bookmarkStart w:id="75" w:name="_Toc2616"/>
      <w:r>
        <w:rPr>
          <w:rFonts w:hint="eastAsia"/>
          <w:color w:val="auto"/>
          <w:highlight w:val="none"/>
        </w:rPr>
        <w:t>评分细则</w:t>
      </w:r>
      <w:bookmarkEnd w:id="75"/>
    </w:p>
    <w:p>
      <w:pPr>
        <w:spacing w:line="360" w:lineRule="auto"/>
        <w:ind w:firstLine="482" w:firstLineChars="200"/>
        <w:rPr>
          <w:rFonts w:ascii="宋体" w:hAnsi="宋体"/>
          <w:b/>
          <w:bCs/>
          <w:color w:val="auto"/>
          <w:sz w:val="24"/>
          <w:szCs w:val="21"/>
          <w:highlight w:val="none"/>
        </w:rPr>
      </w:pPr>
      <w:r>
        <w:rPr>
          <w:rFonts w:hint="eastAsia" w:ascii="宋体" w:hAnsi="宋体"/>
          <w:b/>
          <w:bCs/>
          <w:color w:val="auto"/>
          <w:sz w:val="24"/>
          <w:szCs w:val="21"/>
          <w:highlight w:val="none"/>
        </w:rPr>
        <w:t>一、报价文件评分标准（</w:t>
      </w:r>
      <w:r>
        <w:rPr>
          <w:rFonts w:hint="eastAsia" w:ascii="宋体" w:hAnsi="宋体"/>
          <w:b/>
          <w:bCs/>
          <w:color w:val="auto"/>
          <w:sz w:val="24"/>
          <w:szCs w:val="21"/>
          <w:highlight w:val="none"/>
          <w:u w:val="single"/>
        </w:rPr>
        <w:t xml:space="preserve"> </w:t>
      </w:r>
      <w:r>
        <w:rPr>
          <w:rFonts w:hint="eastAsia" w:ascii="宋体" w:hAnsi="宋体"/>
          <w:b/>
          <w:bCs/>
          <w:color w:val="auto"/>
          <w:sz w:val="24"/>
          <w:szCs w:val="21"/>
          <w:highlight w:val="none"/>
          <w:u w:val="single"/>
          <w:lang w:val="en-US" w:eastAsia="zh-CN"/>
        </w:rPr>
        <w:t>20</w:t>
      </w:r>
      <w:r>
        <w:rPr>
          <w:rFonts w:hint="eastAsia" w:ascii="宋体" w:hAnsi="宋体"/>
          <w:b/>
          <w:bCs/>
          <w:color w:val="auto"/>
          <w:sz w:val="24"/>
          <w:szCs w:val="21"/>
          <w:highlight w:val="none"/>
          <w:u w:val="single"/>
        </w:rPr>
        <w:t xml:space="preserve"> </w:t>
      </w:r>
      <w:r>
        <w:rPr>
          <w:rFonts w:hint="eastAsia" w:ascii="宋体" w:hAnsi="宋体"/>
          <w:b/>
          <w:bCs/>
          <w:color w:val="auto"/>
          <w:sz w:val="24"/>
          <w:szCs w:val="21"/>
          <w:highlight w:val="none"/>
        </w:rPr>
        <w:t>分）</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报价文件主要是对供应商的有效报价进行评议，其评分标准及分值设置规则如下：</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1、本次采购最高限价规定如下：</w:t>
      </w:r>
    </w:p>
    <w:p>
      <w:pPr>
        <w:spacing w:line="360" w:lineRule="auto"/>
        <w:ind w:firstLine="480" w:firstLineChars="200"/>
        <w:rPr>
          <w:rFonts w:ascii="宋体" w:hAnsi="宋体"/>
          <w:b/>
          <w:color w:val="auto"/>
          <w:sz w:val="24"/>
          <w:szCs w:val="21"/>
          <w:highlight w:val="none"/>
        </w:rPr>
      </w:pPr>
      <w:r>
        <w:rPr>
          <w:rFonts w:hint="eastAsia" w:ascii="宋体" w:hAnsi="宋体"/>
          <w:color w:val="auto"/>
          <w:sz w:val="24"/>
          <w:szCs w:val="21"/>
          <w:highlight w:val="none"/>
        </w:rPr>
        <w:t>本项目投标报价的最高限价</w:t>
      </w:r>
      <w:r>
        <w:rPr>
          <w:rFonts w:hint="eastAsia" w:ascii="宋体" w:hAnsi="宋体"/>
          <w:b/>
          <w:color w:val="auto"/>
          <w:sz w:val="24"/>
          <w:szCs w:val="21"/>
          <w:highlight w:val="none"/>
        </w:rPr>
        <w:t>为人民币</w:t>
      </w:r>
      <w:r>
        <w:rPr>
          <w:rFonts w:hint="eastAsia" w:ascii="宋体" w:hAnsi="宋体"/>
          <w:b/>
          <w:color w:val="auto"/>
          <w:sz w:val="24"/>
          <w:szCs w:val="21"/>
          <w:highlight w:val="none"/>
          <w:u w:val="single"/>
        </w:rPr>
        <w:fldChar w:fldCharType="begin"/>
      </w:r>
      <w:r>
        <w:rPr>
          <w:rFonts w:hint="eastAsia" w:ascii="宋体" w:hAnsi="宋体"/>
          <w:b/>
          <w:color w:val="auto"/>
          <w:sz w:val="24"/>
          <w:szCs w:val="21"/>
          <w:highlight w:val="none"/>
          <w:u w:val="single"/>
        </w:rPr>
        <w:instrText xml:space="preserve"> = 1356800 \* CHINESENUM4 \* MERGEFORMAT </w:instrText>
      </w:r>
      <w:r>
        <w:rPr>
          <w:rFonts w:hint="eastAsia" w:ascii="宋体" w:hAnsi="宋体"/>
          <w:b/>
          <w:color w:val="auto"/>
          <w:sz w:val="24"/>
          <w:szCs w:val="21"/>
          <w:highlight w:val="none"/>
          <w:u w:val="single"/>
        </w:rPr>
        <w:fldChar w:fldCharType="separate"/>
      </w:r>
      <w:r>
        <w:rPr>
          <w:rFonts w:hint="eastAsia" w:ascii="宋体" w:hAnsi="宋体"/>
          <w:b/>
          <w:color w:val="auto"/>
          <w:sz w:val="24"/>
          <w:szCs w:val="21"/>
          <w:highlight w:val="none"/>
          <w:u w:val="single"/>
          <w:lang w:val="en-US" w:eastAsia="zh-CN"/>
        </w:rPr>
        <w:t xml:space="preserve"> 柒拾万</w:t>
      </w:r>
      <w:r>
        <w:rPr>
          <w:rFonts w:hint="eastAsia" w:ascii="宋体" w:hAnsi="宋体"/>
          <w:b/>
          <w:color w:val="auto"/>
          <w:sz w:val="24"/>
          <w:szCs w:val="21"/>
          <w:highlight w:val="none"/>
          <w:u w:val="single"/>
        </w:rPr>
        <w:t>元整</w:t>
      </w:r>
      <w:r>
        <w:rPr>
          <w:rFonts w:hint="eastAsia" w:ascii="宋体" w:hAnsi="宋体"/>
          <w:b/>
          <w:color w:val="auto"/>
          <w:sz w:val="24"/>
          <w:szCs w:val="21"/>
          <w:highlight w:val="none"/>
          <w:u w:val="single"/>
        </w:rPr>
        <w:fldChar w:fldCharType="end"/>
      </w:r>
      <w:r>
        <w:rPr>
          <w:rFonts w:hint="eastAsia" w:ascii="宋体" w:hAnsi="宋体"/>
          <w:b/>
          <w:color w:val="auto"/>
          <w:sz w:val="24"/>
          <w:szCs w:val="21"/>
          <w:highlight w:val="none"/>
        </w:rPr>
        <w:t>（小写</w:t>
      </w:r>
      <w:r>
        <w:rPr>
          <w:rFonts w:hint="eastAsia" w:ascii="宋体" w:hAnsi="宋体"/>
          <w:b/>
          <w:color w:val="auto"/>
          <w:sz w:val="24"/>
          <w:szCs w:val="21"/>
          <w:highlight w:val="none"/>
          <w:lang w:val="en-US" w:eastAsia="zh-CN"/>
        </w:rPr>
        <w:t xml:space="preserve"> </w:t>
      </w:r>
      <w:r>
        <w:rPr>
          <w:rFonts w:hint="eastAsia" w:ascii="宋体" w:hAnsi="宋体"/>
          <w:b/>
          <w:color w:val="auto"/>
          <w:sz w:val="24"/>
          <w:szCs w:val="21"/>
          <w:highlight w:val="none"/>
          <w:u w:val="single"/>
          <w:lang w:val="en-US" w:eastAsia="zh-CN"/>
        </w:rPr>
        <w:t xml:space="preserve"> 700000</w:t>
      </w:r>
      <w:r>
        <w:rPr>
          <w:rFonts w:hint="eastAsia" w:ascii="宋体" w:hAnsi="宋体"/>
          <w:b/>
          <w:color w:val="auto"/>
          <w:sz w:val="24"/>
          <w:szCs w:val="21"/>
          <w:highlight w:val="none"/>
          <w:u w:val="single"/>
        </w:rPr>
        <w:t xml:space="preserve">.00 </w:t>
      </w:r>
      <w:r>
        <w:rPr>
          <w:rFonts w:hint="eastAsia" w:ascii="宋体" w:hAnsi="宋体"/>
          <w:b/>
          <w:color w:val="auto"/>
          <w:sz w:val="24"/>
          <w:szCs w:val="21"/>
          <w:highlight w:val="none"/>
        </w:rPr>
        <w:t>元）。最高限价由采购人根据市场价格的调查设定，并且不高于本项目财政预算。</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2、供应商的报价在最高限价内的，为有效报价。</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3、本次评标设有最佳报价。最佳报价确定方式：根据所有入围供应商有效报价中的最低报价作为最佳报价。</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4、最佳报价者的报价分为满分，其他供应商的有效报价与最佳报价相比，按下列方法计算其报价分：</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投标价格分=(最佳报价/投标报价)*价格权值*100。</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5、当报价一览表与磋商报价明细表报价不一致时，以报价一览表为准，磋商报价明细表报价予以修正并由授权代表签字确认，拒绝修正或确认的，则做无效标处理。</w:t>
      </w:r>
    </w:p>
    <w:p>
      <w:pPr>
        <w:autoSpaceDE w:val="0"/>
        <w:autoSpaceDN w:val="0"/>
        <w:spacing w:line="360" w:lineRule="auto"/>
        <w:ind w:firstLine="482"/>
        <w:rPr>
          <w:rFonts w:hint="eastAsia" w:ascii="宋体" w:hAnsi="宋体"/>
          <w:color w:val="auto"/>
          <w:sz w:val="24"/>
          <w:szCs w:val="21"/>
          <w:highlight w:val="none"/>
        </w:rPr>
      </w:pPr>
      <w:r>
        <w:rPr>
          <w:rFonts w:hint="eastAsia" w:ascii="宋体" w:hAnsi="宋体"/>
          <w:color w:val="auto"/>
          <w:sz w:val="24"/>
          <w:szCs w:val="21"/>
          <w:highlight w:val="none"/>
        </w:rPr>
        <w:t>6、响应文件只允许有一个报价，磋商报价应按磋商文件中相关附表格式填报，该磋商报价应与明细报价汇总相等，且不允许出现报价优惠、赠送等字样（明细出现“0”元，视同赠送）,如出现则做</w:t>
      </w:r>
      <w:r>
        <w:rPr>
          <w:rFonts w:hint="eastAsia" w:ascii="宋体" w:hAnsi="宋体"/>
          <w:b/>
          <w:bCs/>
          <w:color w:val="auto"/>
          <w:sz w:val="24"/>
          <w:szCs w:val="21"/>
          <w:highlight w:val="none"/>
        </w:rPr>
        <w:t>无效响应</w:t>
      </w:r>
      <w:r>
        <w:rPr>
          <w:rFonts w:hint="eastAsia" w:ascii="宋体" w:hAnsi="宋体"/>
          <w:color w:val="auto"/>
          <w:sz w:val="24"/>
          <w:szCs w:val="21"/>
          <w:highlight w:val="none"/>
        </w:rPr>
        <w:t>处理。</w:t>
      </w:r>
    </w:p>
    <w:p>
      <w:pPr>
        <w:autoSpaceDE w:val="0"/>
        <w:autoSpaceDN w:val="0"/>
        <w:spacing w:line="360" w:lineRule="auto"/>
        <w:ind w:firstLine="482"/>
        <w:rPr>
          <w:rFonts w:ascii="宋体" w:hAnsi="宋体" w:cs="仿宋_GB2312"/>
          <w:color w:val="auto"/>
          <w:sz w:val="24"/>
          <w:highlight w:val="none"/>
        </w:rPr>
      </w:pPr>
      <w:r>
        <w:rPr>
          <w:rFonts w:hint="eastAsia" w:ascii="宋体" w:hAnsi="宋体"/>
          <w:color w:val="auto"/>
          <w:sz w:val="24"/>
          <w:szCs w:val="21"/>
          <w:highlight w:val="none"/>
          <w:lang w:val="en-US" w:eastAsia="zh-CN"/>
        </w:rPr>
        <w:t>7</w:t>
      </w:r>
      <w:r>
        <w:rPr>
          <w:rFonts w:hint="eastAsia" w:ascii="宋体" w:hAnsi="宋体"/>
          <w:color w:val="auto"/>
          <w:sz w:val="24"/>
          <w:szCs w:val="21"/>
          <w:highlight w:val="none"/>
        </w:rPr>
        <w:t>、</w:t>
      </w:r>
      <w:r>
        <w:rPr>
          <w:rFonts w:hint="eastAsia" w:ascii="宋体" w:hAnsi="宋体" w:cs="仿宋_GB2312"/>
          <w:b/>
          <w:color w:val="auto"/>
          <w:sz w:val="24"/>
          <w:highlight w:val="none"/>
        </w:rPr>
        <w:t>投标价格的合理性</w:t>
      </w:r>
      <w:r>
        <w:rPr>
          <w:rFonts w:hint="eastAsia" w:ascii="宋体" w:hAnsi="宋体" w:cs="仿宋_GB2312"/>
          <w:color w:val="auto"/>
          <w:sz w:val="24"/>
          <w:highlight w:val="none"/>
        </w:rPr>
        <w:t>：</w:t>
      </w:r>
      <w:r>
        <w:rPr>
          <w:rFonts w:ascii="Arial" w:hAnsi="Arial" w:cs="Arial"/>
          <w:color w:val="auto"/>
          <w:sz w:val="24"/>
          <w:highlight w:val="none"/>
        </w:rPr>
        <w:t>评标委员会认为</w:t>
      </w:r>
      <w:r>
        <w:rPr>
          <w:rFonts w:hint="eastAsia" w:ascii="Arial" w:hAnsi="Arial" w:cs="Arial"/>
          <w:color w:val="auto"/>
          <w:sz w:val="24"/>
          <w:highlight w:val="none"/>
        </w:rPr>
        <w:t>供应商</w:t>
      </w:r>
      <w:r>
        <w:rPr>
          <w:rFonts w:ascii="Arial" w:hAnsi="Arial" w:cs="Arial"/>
          <w:color w:val="auto"/>
          <w:sz w:val="24"/>
          <w:highlight w:val="none"/>
        </w:rPr>
        <w:t>的报价明显低于其他通过符合性审查</w:t>
      </w:r>
      <w:r>
        <w:rPr>
          <w:rFonts w:hint="eastAsia" w:ascii="Arial" w:hAnsi="Arial" w:cs="Arial"/>
          <w:color w:val="auto"/>
          <w:sz w:val="24"/>
          <w:highlight w:val="none"/>
        </w:rPr>
        <w:t>供应商</w:t>
      </w:r>
      <w:r>
        <w:rPr>
          <w:rFonts w:ascii="Arial" w:hAnsi="Arial" w:cs="Arial"/>
          <w:color w:val="auto"/>
          <w:sz w:val="24"/>
          <w:highlight w:val="none"/>
        </w:rPr>
        <w:t>的报价，有可能影响产品质量或者不能诚信履约的，应当要求其在评标现场合理的时间内提供书面说明，必要时提交相关证明材料；</w:t>
      </w:r>
      <w:r>
        <w:rPr>
          <w:rFonts w:hint="eastAsia" w:ascii="Arial" w:hAnsi="Arial" w:cs="Arial"/>
          <w:color w:val="auto"/>
          <w:sz w:val="24"/>
          <w:highlight w:val="none"/>
        </w:rPr>
        <w:t>供应商</w:t>
      </w:r>
      <w:r>
        <w:rPr>
          <w:rFonts w:ascii="Arial" w:hAnsi="Arial" w:cs="Arial"/>
          <w:color w:val="auto"/>
          <w:sz w:val="24"/>
          <w:highlight w:val="none"/>
        </w:rPr>
        <w:t>不能证明其报价合理性的，评标委员会应当将其作为无效</w:t>
      </w:r>
      <w:r>
        <w:rPr>
          <w:rFonts w:hint="eastAsia" w:ascii="Arial" w:hAnsi="Arial" w:cs="Arial"/>
          <w:color w:val="auto"/>
          <w:sz w:val="24"/>
          <w:highlight w:val="none"/>
        </w:rPr>
        <w:t>响应</w:t>
      </w:r>
      <w:r>
        <w:rPr>
          <w:rFonts w:ascii="Arial" w:hAnsi="Arial" w:cs="Arial"/>
          <w:color w:val="auto"/>
          <w:sz w:val="24"/>
          <w:highlight w:val="none"/>
        </w:rPr>
        <w:t>处理。</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lang w:val="en-US" w:eastAsia="zh-CN"/>
        </w:rPr>
        <w:t>8</w:t>
      </w:r>
      <w:r>
        <w:rPr>
          <w:rFonts w:hint="eastAsia" w:ascii="宋体" w:hAnsi="宋体"/>
          <w:color w:val="auto"/>
          <w:sz w:val="24"/>
          <w:szCs w:val="21"/>
          <w:highlight w:val="none"/>
        </w:rPr>
        <w:t>、价格扣除：根据工信部等部委发布的《关于印发中小企业划型标准规定的通知》（工信部联企业〔2011〕300号），根据具体品目确定相应标准。符合上述条件的中小微型企业应按照磋商文件的格式要求提供《中小企业声明函》及其相关的充分的证明材料。符合《关于促进残疾人就业政府采购政策的通知》（财库〔2017〕141号）规定的条件并提供《残疾人福利性单位声明函》的残疾人福利性单位视同小型、微型企业；根据《关于政府采购支持监狱企业发展有关问题的通知》（财库[2014]68号）的规定，供应商提供由省级以上监狱管理局、戒毒管理局（含新疆生产建设兵团）出具的属于监狱企业证明文件的，视同为小型和微型企业。</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根据财政部发布的《政府采购促进中小企业发展暂行办法》规定，对于非专门面向此类企业的项目，对小型和微型企业产品的投标价格给予6%除（即投标报价*94%），用扣除后的价格参与评审（中标价及合同价仍以其投标报价为准）。</w:t>
      </w:r>
    </w:p>
    <w:p>
      <w:pPr>
        <w:spacing w:line="360" w:lineRule="auto"/>
        <w:ind w:firstLine="480" w:firstLineChars="200"/>
        <w:rPr>
          <w:rFonts w:ascii="宋体" w:hAnsi="宋体"/>
          <w:color w:val="auto"/>
          <w:sz w:val="24"/>
          <w:szCs w:val="21"/>
          <w:highlight w:val="none"/>
        </w:rPr>
      </w:pPr>
      <w:r>
        <w:rPr>
          <w:rFonts w:hint="eastAsia" w:ascii="宋体" w:hAnsi="宋体"/>
          <w:color w:val="auto"/>
          <w:sz w:val="24"/>
          <w:szCs w:val="21"/>
          <w:highlight w:val="none"/>
        </w:rPr>
        <w:t>小型、微型企业与大中型企业和其他自然人、法人或者其他组织组成联合体共同参加非专门面向中小企业的政府采购活动。联合协议中约定，小型、微型企业的协议合同金额占到联合体协议合同总金额30%以上的，可给予联合体2%的投标价格扣除。（即投标报价*98%），用扣除后的价格参与评审（中标价及合同价仍以其投标报价为准）。</w:t>
      </w:r>
    </w:p>
    <w:p>
      <w:pPr>
        <w:spacing w:line="360" w:lineRule="auto"/>
        <w:ind w:firstLine="480" w:firstLineChars="200"/>
        <w:rPr>
          <w:rFonts w:ascii="宋体" w:hAnsi="宋体" w:cs="宋体"/>
          <w:b/>
          <w:bCs/>
          <w:color w:val="auto"/>
          <w:sz w:val="24"/>
          <w:szCs w:val="21"/>
          <w:highlight w:val="none"/>
        </w:rPr>
      </w:pPr>
      <w:r>
        <w:rPr>
          <w:rFonts w:hint="eastAsia" w:ascii="宋体" w:hAnsi="宋体"/>
          <w:color w:val="auto"/>
          <w:sz w:val="24"/>
          <w:szCs w:val="21"/>
          <w:highlight w:val="none"/>
        </w:rPr>
        <w:t>联合体各方均为小型、微型企业的，联合体视同为小型、微型企业。</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二、商务技术文件评标内容及标准（</w:t>
      </w:r>
      <w:r>
        <w:rPr>
          <w:rFonts w:hint="eastAsia" w:ascii="宋体" w:hAnsi="宋体" w:cs="宋体"/>
          <w:b/>
          <w:bCs/>
          <w:color w:val="auto"/>
          <w:sz w:val="24"/>
          <w:szCs w:val="21"/>
          <w:highlight w:val="none"/>
          <w:u w:val="single"/>
          <w:lang w:val="en-US" w:eastAsia="zh-CN"/>
        </w:rPr>
        <w:t>80</w:t>
      </w:r>
      <w:r>
        <w:rPr>
          <w:rFonts w:hint="eastAsia" w:ascii="宋体" w:hAnsi="宋体" w:cs="宋体"/>
          <w:b/>
          <w:bCs/>
          <w:color w:val="auto"/>
          <w:sz w:val="24"/>
          <w:szCs w:val="21"/>
          <w:highlight w:val="none"/>
          <w:u w:val="single"/>
        </w:rPr>
        <w:t xml:space="preserve"> </w:t>
      </w:r>
      <w:r>
        <w:rPr>
          <w:rFonts w:hint="eastAsia" w:ascii="宋体" w:hAnsi="宋体" w:cs="宋体"/>
          <w:b/>
          <w:bCs/>
          <w:color w:val="auto"/>
          <w:sz w:val="24"/>
          <w:szCs w:val="21"/>
          <w:highlight w:val="none"/>
        </w:rPr>
        <w:t>分）</w:t>
      </w:r>
    </w:p>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1、评分细则</w:t>
      </w:r>
    </w:p>
    <w:tbl>
      <w:tblPr>
        <w:tblStyle w:val="23"/>
        <w:tblW w:w="53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785"/>
        <w:gridCol w:w="5883"/>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645" w:type="pct"/>
            <w:tcBorders>
              <w:top w:val="single" w:color="auto" w:sz="4" w:space="0"/>
              <w:left w:val="single" w:color="auto" w:sz="4" w:space="0"/>
              <w:bottom w:val="single" w:color="auto" w:sz="4" w:space="0"/>
              <w:right w:val="single" w:color="auto" w:sz="4" w:space="0"/>
            </w:tcBorders>
            <w:noWrap w:val="0"/>
            <w:vAlign w:val="center"/>
          </w:tcPr>
          <w:p>
            <w:pPr>
              <w:adjustRightInd w:val="0"/>
              <w:spacing w:beforeLines="50"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评分项目</w:t>
            </w:r>
          </w:p>
        </w:tc>
        <w:tc>
          <w:tcPr>
            <w:tcW w:w="3875"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beforeLines="50"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kern w:val="1"/>
                <w:sz w:val="24"/>
                <w:szCs w:val="20"/>
                <w:highlight w:val="none"/>
                <w:lang w:val="en-US" w:eastAsia="zh-CN" w:bidi="ar-SA"/>
              </w:rPr>
              <w:t>评标要点及说明</w:t>
            </w:r>
          </w:p>
        </w:tc>
        <w:tc>
          <w:tcPr>
            <w:tcW w:w="479" w:type="pct"/>
            <w:tcBorders>
              <w:top w:val="single" w:color="auto" w:sz="4" w:space="0"/>
              <w:left w:val="single" w:color="auto" w:sz="4" w:space="0"/>
              <w:bottom w:val="single" w:color="auto" w:sz="4" w:space="0"/>
              <w:right w:val="single" w:color="auto" w:sz="4" w:space="0"/>
            </w:tcBorders>
            <w:noWrap w:val="0"/>
            <w:vAlign w:val="center"/>
          </w:tcPr>
          <w:p>
            <w:pPr>
              <w:adjustRightInd w:val="0"/>
              <w:spacing w:beforeLines="50"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5" w:type="pct"/>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项目理解</w:t>
            </w: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bCs/>
                <w:iCs/>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评委根据投标人对本项目的</w:t>
            </w:r>
            <w:r>
              <w:rPr>
                <w:rFonts w:hint="eastAsia" w:ascii="宋体" w:hAnsi="宋体" w:eastAsia="宋体" w:cs="宋体"/>
                <w:color w:val="auto"/>
                <w:sz w:val="22"/>
                <w:szCs w:val="22"/>
                <w:highlight w:val="none"/>
              </w:rPr>
              <w:t>总体思路是否清晰、完整</w:t>
            </w:r>
            <w:r>
              <w:rPr>
                <w:rFonts w:hint="eastAsia" w:ascii="宋体" w:hAnsi="宋体" w:eastAsia="宋体" w:cs="宋体"/>
                <w:color w:val="auto"/>
                <w:sz w:val="22"/>
                <w:szCs w:val="22"/>
                <w:highlight w:val="none"/>
                <w:lang w:val="en-US" w:eastAsia="zh-CN"/>
              </w:rPr>
              <w:t>进行打分；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kern w:val="0"/>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sz w:val="22"/>
                <w:szCs w:val="22"/>
                <w:highlight w:val="none"/>
              </w:rPr>
            </w:pP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w:t>
            </w:r>
            <w:r>
              <w:rPr>
                <w:rFonts w:hint="eastAsia" w:ascii="宋体" w:hAnsi="宋体" w:eastAsia="宋体" w:cs="宋体"/>
                <w:color w:val="auto"/>
                <w:sz w:val="22"/>
                <w:szCs w:val="22"/>
                <w:highlight w:val="none"/>
              </w:rPr>
              <w:t>对</w:t>
            </w:r>
            <w:r>
              <w:rPr>
                <w:rFonts w:hint="eastAsia" w:ascii="宋体" w:hAnsi="宋体" w:eastAsia="宋体" w:cs="宋体"/>
                <w:color w:val="auto"/>
                <w:sz w:val="22"/>
                <w:szCs w:val="22"/>
                <w:highlight w:val="none"/>
                <w:lang w:val="en-US" w:eastAsia="zh-CN"/>
              </w:rPr>
              <w:t>本</w:t>
            </w:r>
            <w:r>
              <w:rPr>
                <w:rFonts w:hint="eastAsia" w:ascii="宋体" w:hAnsi="宋体" w:eastAsia="宋体" w:cs="宋体"/>
                <w:color w:val="auto"/>
                <w:sz w:val="22"/>
                <w:szCs w:val="22"/>
                <w:highlight w:val="none"/>
              </w:rPr>
              <w:t>项目是否根据需求目标与内容有详细的解析</w:t>
            </w:r>
            <w:r>
              <w:rPr>
                <w:rFonts w:hint="eastAsia" w:ascii="宋体" w:hAnsi="宋体" w:eastAsia="宋体" w:cs="宋体"/>
                <w:color w:val="auto"/>
                <w:sz w:val="22"/>
                <w:szCs w:val="22"/>
                <w:highlight w:val="none"/>
                <w:lang w:val="en-US" w:eastAsia="zh-CN"/>
              </w:rPr>
              <w:t>进行打分；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Cs/>
                <w:color w:val="auto"/>
                <w:sz w:val="22"/>
                <w:szCs w:val="22"/>
                <w:highlight w:val="none"/>
              </w:rPr>
              <w:t>关键技术</w:t>
            </w:r>
            <w:r>
              <w:rPr>
                <w:rFonts w:hint="eastAsia" w:ascii="宋体" w:hAnsi="宋体" w:eastAsia="宋体" w:cs="宋体"/>
                <w:bCs/>
                <w:color w:val="auto"/>
                <w:sz w:val="22"/>
                <w:szCs w:val="22"/>
                <w:highlight w:val="none"/>
                <w:lang w:val="en-US" w:eastAsia="zh-CN"/>
              </w:rPr>
              <w:t>重点、</w:t>
            </w:r>
            <w:r>
              <w:rPr>
                <w:rFonts w:hint="eastAsia" w:ascii="宋体" w:hAnsi="宋体" w:eastAsia="宋体" w:cs="宋体"/>
                <w:bCs/>
                <w:color w:val="auto"/>
                <w:sz w:val="22"/>
                <w:szCs w:val="22"/>
                <w:highlight w:val="none"/>
              </w:rPr>
              <w:t>难点</w:t>
            </w:r>
            <w:r>
              <w:rPr>
                <w:rFonts w:hint="eastAsia" w:ascii="宋体" w:hAnsi="宋体" w:eastAsia="宋体" w:cs="宋体"/>
                <w:bCs/>
                <w:color w:val="auto"/>
                <w:sz w:val="22"/>
                <w:szCs w:val="22"/>
                <w:highlight w:val="none"/>
                <w:lang w:val="en-US" w:eastAsia="zh-CN"/>
              </w:rPr>
              <w:t>及</w:t>
            </w:r>
            <w:r>
              <w:rPr>
                <w:rFonts w:hint="eastAsia" w:ascii="宋体" w:hAnsi="宋体" w:eastAsia="宋体" w:cs="宋体"/>
                <w:bCs/>
                <w:color w:val="auto"/>
                <w:sz w:val="22"/>
                <w:szCs w:val="22"/>
                <w:highlight w:val="none"/>
              </w:rPr>
              <w:t>解决方案</w:t>
            </w: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评委根据投标人对本</w:t>
            </w:r>
            <w:r>
              <w:rPr>
                <w:rFonts w:hint="eastAsia" w:ascii="宋体" w:hAnsi="宋体" w:eastAsia="宋体" w:cs="宋体"/>
                <w:color w:val="auto"/>
                <w:sz w:val="22"/>
                <w:szCs w:val="22"/>
                <w:highlight w:val="none"/>
                <w:lang w:val="zh-CN"/>
              </w:rPr>
              <w:t>项目重点的分析与理解是否全面，是否合理</w:t>
            </w:r>
            <w:r>
              <w:rPr>
                <w:rFonts w:hint="eastAsia" w:ascii="宋体" w:hAnsi="宋体" w:eastAsia="宋体" w:cs="宋体"/>
                <w:color w:val="auto"/>
                <w:sz w:val="22"/>
                <w:szCs w:val="22"/>
                <w:highlight w:val="none"/>
                <w:lang w:val="en-US" w:eastAsia="zh-CN"/>
              </w:rPr>
              <w:t>进行打分；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sz w:val="22"/>
                <w:szCs w:val="22"/>
                <w:highlight w:val="none"/>
                <w:lang w:val="en-US" w:eastAsia="zh-CN"/>
              </w:rPr>
            </w:pPr>
          </w:p>
        </w:tc>
        <w:tc>
          <w:tcPr>
            <w:tcW w:w="2972" w:type="pct"/>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w:t>
            </w:r>
            <w:r>
              <w:rPr>
                <w:rFonts w:hint="eastAsia" w:ascii="宋体" w:hAnsi="宋体" w:eastAsia="宋体" w:cs="宋体"/>
                <w:color w:val="auto"/>
                <w:sz w:val="22"/>
                <w:szCs w:val="22"/>
                <w:highlight w:val="none"/>
                <w:lang w:val="zh-CN"/>
              </w:rPr>
              <w:t>对本项目难点的分析与理解，及相应的解决方案</w:t>
            </w:r>
            <w:r>
              <w:rPr>
                <w:rFonts w:hint="eastAsia" w:ascii="宋体" w:hAnsi="宋体" w:eastAsia="宋体" w:cs="宋体"/>
                <w:color w:val="auto"/>
                <w:sz w:val="22"/>
                <w:szCs w:val="22"/>
                <w:highlight w:val="none"/>
                <w:lang w:val="en-US" w:eastAsia="zh-CN"/>
              </w:rPr>
              <w:t>进行打分；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bCs/>
                <w:color w:val="auto"/>
                <w:sz w:val="22"/>
                <w:szCs w:val="22"/>
                <w:highlight w:val="none"/>
                <w:lang w:val="en-US" w:eastAsia="zh-CN"/>
              </w:rPr>
            </w:pP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评委根据投标人对本项目</w:t>
            </w:r>
            <w:r>
              <w:rPr>
                <w:rFonts w:hint="eastAsia" w:ascii="宋体" w:hAnsi="宋体" w:eastAsia="宋体" w:cs="宋体"/>
                <w:color w:val="auto"/>
                <w:sz w:val="22"/>
                <w:szCs w:val="22"/>
                <w:highlight w:val="none"/>
                <w:lang w:val="zh-CN"/>
              </w:rPr>
              <w:t>方案总体思路是否考虑全面，是否合理</w:t>
            </w:r>
            <w:r>
              <w:rPr>
                <w:rFonts w:hint="eastAsia" w:ascii="宋体" w:hAnsi="宋体" w:eastAsia="宋体" w:cs="宋体"/>
                <w:color w:val="auto"/>
                <w:sz w:val="22"/>
                <w:szCs w:val="22"/>
                <w:highlight w:val="none"/>
                <w:lang w:val="en-US" w:eastAsia="zh-CN"/>
              </w:rPr>
              <w:t>进行打分；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实施方案、服务质量、保证措施</w:t>
            </w:r>
          </w:p>
          <w:p>
            <w:pPr>
              <w:widowControl/>
              <w:spacing w:line="360" w:lineRule="auto"/>
              <w:jc w:val="center"/>
              <w:rPr>
                <w:rFonts w:hint="eastAsia" w:ascii="宋体" w:hAnsi="宋体" w:eastAsia="宋体" w:cs="宋体"/>
                <w:color w:val="auto"/>
                <w:sz w:val="22"/>
                <w:szCs w:val="22"/>
                <w:highlight w:val="none"/>
                <w:lang w:val="en-US" w:eastAsia="zh-CN"/>
              </w:rPr>
            </w:pP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评委根据投标人对本项目实施总体架构及技术解决方案完整、可行进行打分；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45" w:type="pct"/>
            <w:vMerge w:val="continue"/>
            <w:tcBorders>
              <w:left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2972" w:type="pct"/>
            <w:tcBorders>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评委根据投标人对本项目</w:t>
            </w:r>
            <w:r>
              <w:rPr>
                <w:rFonts w:hint="eastAsia" w:ascii="宋体" w:hAnsi="宋体" w:eastAsia="宋体" w:cs="宋体"/>
                <w:color w:val="auto"/>
                <w:sz w:val="22"/>
                <w:szCs w:val="22"/>
                <w:highlight w:val="none"/>
              </w:rPr>
              <w:t>实施进度方案是否先进，编排是否合理进行评分</w:t>
            </w:r>
            <w:r>
              <w:rPr>
                <w:rFonts w:hint="eastAsia" w:ascii="宋体" w:hAnsi="宋体" w:eastAsia="宋体" w:cs="宋体"/>
                <w:color w:val="auto"/>
                <w:sz w:val="22"/>
                <w:szCs w:val="22"/>
                <w:highlight w:val="none"/>
                <w:lang w:eastAsia="zh-CN"/>
              </w:rPr>
              <w:t>；</w:t>
            </w:r>
          </w:p>
        </w:tc>
        <w:tc>
          <w:tcPr>
            <w:tcW w:w="479" w:type="pct"/>
            <w:tcBorders>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45" w:type="pct"/>
            <w:vMerge w:val="continue"/>
            <w:tcBorders>
              <w:left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2972" w:type="pct"/>
            <w:tcBorders>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评委根据投标人对本项目</w:t>
            </w:r>
            <w:r>
              <w:rPr>
                <w:rFonts w:hint="eastAsia" w:ascii="宋体" w:hAnsi="宋体" w:eastAsia="宋体" w:cs="宋体"/>
                <w:bCs/>
                <w:iCs/>
                <w:color w:val="auto"/>
                <w:sz w:val="22"/>
                <w:szCs w:val="22"/>
                <w:highlight w:val="none"/>
                <w:lang w:val="en-US" w:eastAsia="zh-CN"/>
              </w:rPr>
              <w:t>服务质量控制保证措施手段是否科学、可靠进行打分；</w:t>
            </w:r>
          </w:p>
        </w:tc>
        <w:tc>
          <w:tcPr>
            <w:tcW w:w="479" w:type="pct"/>
            <w:tcBorders>
              <w:left w:val="single" w:color="auto" w:sz="4" w:space="0"/>
              <w:bottom w:val="single" w:color="auto" w:sz="4" w:space="0"/>
              <w:right w:val="single" w:color="auto" w:sz="4" w:space="0"/>
            </w:tcBorders>
            <w:noWrap w:val="0"/>
            <w:vAlign w:val="center"/>
          </w:tcPr>
          <w:p>
            <w:pPr>
              <w:widowControl/>
              <w:spacing w:line="360" w:lineRule="auto"/>
              <w:jc w:val="center"/>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45" w:type="pct"/>
            <w:vMerge w:val="continue"/>
            <w:tcBorders>
              <w:left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p>
        </w:tc>
        <w:tc>
          <w:tcPr>
            <w:tcW w:w="2972" w:type="pct"/>
            <w:tcBorders>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评委根据投标人对本项目安全作业保证措施是否完备，是否有相关预案进行打分；</w:t>
            </w:r>
          </w:p>
        </w:tc>
        <w:tc>
          <w:tcPr>
            <w:tcW w:w="479" w:type="pct"/>
            <w:tcBorders>
              <w:left w:val="single" w:color="auto" w:sz="4" w:space="0"/>
              <w:bottom w:val="single" w:color="auto" w:sz="4" w:space="0"/>
              <w:right w:val="single" w:color="auto" w:sz="4" w:space="0"/>
            </w:tcBorders>
            <w:noWrap w:val="0"/>
            <w:vAlign w:val="center"/>
          </w:tcPr>
          <w:p>
            <w:pPr>
              <w:spacing w:line="360" w:lineRule="auto"/>
              <w:jc w:val="center"/>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45"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团队</w:t>
            </w:r>
            <w:r>
              <w:rPr>
                <w:rFonts w:hint="eastAsia" w:ascii="宋体" w:hAnsi="宋体" w:eastAsia="宋体" w:cs="宋体"/>
                <w:color w:val="auto"/>
                <w:sz w:val="22"/>
                <w:szCs w:val="22"/>
                <w:highlight w:val="none"/>
                <w:lang w:val="en-US" w:eastAsia="zh-CN"/>
              </w:rPr>
              <w:t>技术力量</w:t>
            </w:r>
          </w:p>
        </w:tc>
        <w:tc>
          <w:tcPr>
            <w:tcW w:w="2972" w:type="pct"/>
            <w:tcBorders>
              <w:top w:val="single" w:color="auto" w:sz="4" w:space="0"/>
              <w:left w:val="single" w:color="auto" w:sz="4" w:space="0"/>
              <w:right w:val="single" w:color="auto" w:sz="4" w:space="0"/>
            </w:tcBorders>
            <w:noWrap w:val="0"/>
            <w:vAlign w:val="center"/>
          </w:tcPr>
          <w:p>
            <w:pPr>
              <w:spacing w:line="30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项目负责人具有正高级工程师职称</w:t>
            </w:r>
            <w:r>
              <w:rPr>
                <w:rFonts w:hint="eastAsia" w:ascii="宋体" w:hAnsi="宋体" w:cs="宋体"/>
                <w:color w:val="auto"/>
                <w:sz w:val="22"/>
                <w:szCs w:val="22"/>
                <w:highlight w:val="none"/>
                <w:lang w:val="en-US" w:eastAsia="zh-CN"/>
              </w:rPr>
              <w:t>的得1分</w:t>
            </w:r>
            <w:r>
              <w:rPr>
                <w:rFonts w:hint="eastAsia" w:ascii="宋体" w:hAnsi="宋体" w:eastAsia="宋体" w:cs="宋体"/>
                <w:color w:val="auto"/>
                <w:sz w:val="22"/>
                <w:szCs w:val="22"/>
                <w:highlight w:val="none"/>
                <w:lang w:val="en-US" w:eastAsia="zh-CN"/>
              </w:rPr>
              <w:t>、注册岩土工程师</w:t>
            </w:r>
            <w:r>
              <w:rPr>
                <w:rFonts w:hint="eastAsia" w:ascii="宋体" w:hAnsi="宋体" w:cs="宋体"/>
                <w:color w:val="auto"/>
                <w:sz w:val="22"/>
                <w:szCs w:val="22"/>
                <w:highlight w:val="none"/>
                <w:lang w:val="en-US" w:eastAsia="zh-CN"/>
              </w:rPr>
              <w:t>的得1分</w:t>
            </w:r>
            <w:r>
              <w:rPr>
                <w:rFonts w:hint="eastAsia" w:ascii="宋体" w:hAnsi="宋体" w:eastAsia="宋体" w:cs="宋体"/>
                <w:color w:val="auto"/>
                <w:sz w:val="22"/>
                <w:szCs w:val="22"/>
                <w:highlight w:val="none"/>
                <w:lang w:val="en-US" w:eastAsia="zh-CN"/>
              </w:rPr>
              <w:t>、建设工程结构检测</w:t>
            </w:r>
            <w:r>
              <w:rPr>
                <w:rFonts w:hint="eastAsia" w:ascii="宋体" w:hAnsi="宋体" w:cs="宋体"/>
                <w:color w:val="auto"/>
                <w:sz w:val="22"/>
                <w:szCs w:val="22"/>
                <w:highlight w:val="none"/>
                <w:lang w:val="en-US" w:eastAsia="zh-CN"/>
              </w:rPr>
              <w:t>的得0.5分</w:t>
            </w:r>
            <w:r>
              <w:rPr>
                <w:rFonts w:hint="eastAsia" w:ascii="宋体" w:hAnsi="宋体" w:eastAsia="宋体" w:cs="宋体"/>
                <w:color w:val="auto"/>
                <w:sz w:val="22"/>
                <w:szCs w:val="22"/>
                <w:highlight w:val="none"/>
                <w:lang w:val="en-US" w:eastAsia="zh-CN"/>
              </w:rPr>
              <w:t>、地基基础检测上岗证</w:t>
            </w:r>
            <w:r>
              <w:rPr>
                <w:rFonts w:hint="eastAsia" w:ascii="宋体" w:hAnsi="宋体" w:cs="宋体"/>
                <w:color w:val="auto"/>
                <w:sz w:val="22"/>
                <w:szCs w:val="22"/>
                <w:highlight w:val="none"/>
                <w:lang w:val="en-US" w:eastAsia="zh-CN"/>
              </w:rPr>
              <w:t>的</w:t>
            </w:r>
            <w:r>
              <w:rPr>
                <w:rFonts w:hint="eastAsia" w:ascii="宋体" w:hAnsi="宋体" w:eastAsia="宋体" w:cs="宋体"/>
                <w:color w:val="auto"/>
                <w:sz w:val="22"/>
                <w:szCs w:val="22"/>
                <w:highlight w:val="none"/>
                <w:lang w:val="en-US" w:eastAsia="zh-CN"/>
              </w:rPr>
              <w:t>得0.5分，最高得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lang w:val="en-US" w:eastAsia="zh-CN"/>
              </w:rPr>
              <w:t>分</w:t>
            </w:r>
            <w:r>
              <w:rPr>
                <w:rFonts w:hint="eastAsia" w:ascii="宋体" w:hAnsi="宋体" w:cs="宋体"/>
                <w:color w:val="auto"/>
                <w:sz w:val="22"/>
                <w:szCs w:val="22"/>
                <w:highlight w:val="none"/>
                <w:lang w:val="en-US" w:eastAsia="zh-CN"/>
              </w:rPr>
              <w:t>；                                               （</w:t>
            </w:r>
            <w:r>
              <w:rPr>
                <w:rFonts w:hint="eastAsia" w:ascii="宋体" w:hAnsi="宋体" w:eastAsia="宋体" w:cs="宋体"/>
                <w:color w:val="auto"/>
                <w:kern w:val="2"/>
                <w:sz w:val="22"/>
                <w:szCs w:val="22"/>
                <w:highlight w:val="none"/>
                <w:lang w:val="zh-CN" w:eastAsia="zh-CN" w:bidi="ar-SA"/>
              </w:rPr>
              <w:t>提供</w:t>
            </w:r>
            <w:r>
              <w:rPr>
                <w:rFonts w:hint="eastAsia" w:ascii="宋体" w:hAnsi="宋体" w:eastAsia="宋体" w:cs="宋体"/>
                <w:color w:val="auto"/>
                <w:kern w:val="2"/>
                <w:sz w:val="22"/>
                <w:szCs w:val="22"/>
                <w:highlight w:val="none"/>
                <w:lang w:val="en-US" w:eastAsia="zh-CN" w:bidi="ar-SA"/>
              </w:rPr>
              <w:t>相应</w:t>
            </w:r>
            <w:r>
              <w:rPr>
                <w:rFonts w:hint="eastAsia" w:ascii="宋体" w:hAnsi="宋体" w:eastAsia="宋体" w:cs="宋体"/>
                <w:color w:val="auto"/>
                <w:kern w:val="2"/>
                <w:sz w:val="22"/>
                <w:szCs w:val="22"/>
                <w:highlight w:val="none"/>
                <w:lang w:val="zh-CN" w:eastAsia="zh-CN" w:bidi="ar-SA"/>
              </w:rPr>
              <w:t>证书</w:t>
            </w:r>
            <w:r>
              <w:rPr>
                <w:rFonts w:hint="eastAsia" w:ascii="宋体" w:hAnsi="宋体" w:eastAsia="宋体" w:cs="宋体"/>
                <w:color w:val="auto"/>
                <w:kern w:val="2"/>
                <w:sz w:val="22"/>
                <w:szCs w:val="22"/>
                <w:highlight w:val="none"/>
                <w:lang w:val="en-US" w:eastAsia="zh-CN" w:bidi="ar-SA"/>
              </w:rPr>
              <w:t>和</w:t>
            </w:r>
            <w:r>
              <w:rPr>
                <w:rFonts w:hint="eastAsia" w:ascii="宋体" w:hAnsi="宋体" w:eastAsia="宋体" w:cs="宋体"/>
                <w:color w:val="auto"/>
                <w:kern w:val="2"/>
                <w:sz w:val="22"/>
                <w:szCs w:val="22"/>
                <w:highlight w:val="none"/>
                <w:lang w:val="zh-CN" w:eastAsia="zh-CN" w:bidi="ar-SA"/>
              </w:rPr>
              <w:t>近三个月社保证明材料复印件并加盖单位公章</w:t>
            </w:r>
            <w:r>
              <w:rPr>
                <w:rFonts w:hint="eastAsia" w:ascii="宋体" w:hAnsi="宋体" w:cs="宋体"/>
                <w:color w:val="auto"/>
                <w:kern w:val="2"/>
                <w:sz w:val="22"/>
                <w:szCs w:val="22"/>
                <w:highlight w:val="none"/>
                <w:lang w:val="zh-CN" w:eastAsia="zh-CN" w:bidi="ar-SA"/>
              </w:rPr>
              <w:t>）</w:t>
            </w:r>
          </w:p>
        </w:tc>
        <w:tc>
          <w:tcPr>
            <w:tcW w:w="479" w:type="pct"/>
            <w:tcBorders>
              <w:top w:val="single" w:color="auto" w:sz="4" w:space="0"/>
              <w:left w:val="single" w:color="auto" w:sz="4" w:space="0"/>
              <w:right w:val="single" w:color="auto" w:sz="4" w:space="0"/>
            </w:tcBorders>
            <w:noWrap w:val="0"/>
            <w:vAlign w:val="center"/>
          </w:tcPr>
          <w:p>
            <w:pPr>
              <w:spacing w:line="320" w:lineRule="exact"/>
              <w:jc w:val="center"/>
              <w:rPr>
                <w:rFonts w:hint="default" w:ascii="宋体" w:hAnsi="宋体" w:eastAsia="宋体" w:cs="宋体"/>
                <w:b w:val="0"/>
                <w:bCs w:val="0"/>
                <w:color w:val="auto"/>
                <w:kern w:val="2"/>
                <w:sz w:val="22"/>
                <w:szCs w:val="22"/>
                <w:highlight w:val="none"/>
                <w:lang w:val="en-US" w:eastAsia="zh-CN" w:bidi="ar-SA"/>
              </w:rPr>
            </w:pPr>
            <w:r>
              <w:rPr>
                <w:rFonts w:hint="eastAsia" w:ascii="宋体" w:hAnsi="宋体" w:cs="宋体"/>
                <w:b w:val="0"/>
                <w:bCs w:val="0"/>
                <w:color w:val="auto"/>
                <w:kern w:val="2"/>
                <w:sz w:val="22"/>
                <w:szCs w:val="22"/>
                <w:highlight w:val="no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45"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cs="宋体"/>
                <w:color w:val="auto"/>
                <w:sz w:val="22"/>
                <w:szCs w:val="22"/>
                <w:highlight w:val="none"/>
                <w:lang w:val="en-US" w:eastAsia="zh-CN"/>
              </w:rPr>
            </w:pPr>
          </w:p>
        </w:tc>
        <w:tc>
          <w:tcPr>
            <w:tcW w:w="2972" w:type="pct"/>
            <w:tcBorders>
              <w:top w:val="single" w:color="auto" w:sz="4" w:space="0"/>
              <w:left w:val="single" w:color="auto" w:sz="4" w:space="0"/>
              <w:right w:val="single" w:color="auto" w:sz="4" w:space="0"/>
            </w:tcBorders>
            <w:noWrap w:val="0"/>
            <w:vAlign w:val="center"/>
          </w:tcPr>
          <w:p>
            <w:pPr>
              <w:spacing w:line="30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技术负责人具备高级工程师职称</w:t>
            </w:r>
            <w:r>
              <w:rPr>
                <w:rFonts w:hint="eastAsia" w:ascii="宋体" w:hAnsi="宋体" w:cs="宋体"/>
                <w:color w:val="auto"/>
                <w:sz w:val="22"/>
                <w:szCs w:val="22"/>
                <w:highlight w:val="none"/>
                <w:lang w:val="en-US" w:eastAsia="zh-CN"/>
              </w:rPr>
              <w:t>的得1分</w:t>
            </w:r>
            <w:r>
              <w:rPr>
                <w:rFonts w:hint="eastAsia" w:ascii="宋体" w:hAnsi="宋体" w:eastAsia="宋体" w:cs="宋体"/>
                <w:color w:val="auto"/>
                <w:sz w:val="22"/>
                <w:szCs w:val="22"/>
                <w:highlight w:val="none"/>
                <w:lang w:val="en-US" w:eastAsia="zh-CN"/>
              </w:rPr>
              <w:t>，具有结构</w:t>
            </w:r>
            <w:r>
              <w:rPr>
                <w:rFonts w:hint="eastAsia" w:ascii="宋体" w:hAnsi="宋体" w:cs="宋体"/>
                <w:color w:val="auto"/>
                <w:sz w:val="22"/>
                <w:szCs w:val="22"/>
                <w:highlight w:val="none"/>
                <w:lang w:val="en-US" w:eastAsia="zh-CN"/>
              </w:rPr>
              <w:t>检测的得1分</w:t>
            </w:r>
            <w:r>
              <w:rPr>
                <w:rFonts w:hint="eastAsia" w:ascii="宋体" w:hAnsi="宋体" w:eastAsia="宋体" w:cs="宋体"/>
                <w:color w:val="auto"/>
                <w:sz w:val="22"/>
                <w:szCs w:val="22"/>
                <w:highlight w:val="none"/>
                <w:lang w:val="en-US" w:eastAsia="zh-CN"/>
              </w:rPr>
              <w:t>、钢结构</w:t>
            </w:r>
            <w:r>
              <w:rPr>
                <w:rFonts w:hint="eastAsia" w:ascii="宋体" w:hAnsi="宋体" w:cs="宋体"/>
                <w:color w:val="auto"/>
                <w:sz w:val="22"/>
                <w:szCs w:val="22"/>
                <w:highlight w:val="none"/>
                <w:lang w:val="en-US" w:eastAsia="zh-CN"/>
              </w:rPr>
              <w:t>检测的得0.5分</w:t>
            </w:r>
            <w:r>
              <w:rPr>
                <w:rFonts w:hint="eastAsia" w:ascii="宋体" w:hAnsi="宋体" w:eastAsia="宋体" w:cs="宋体"/>
                <w:color w:val="auto"/>
                <w:sz w:val="22"/>
                <w:szCs w:val="22"/>
                <w:highlight w:val="none"/>
                <w:lang w:val="en-US" w:eastAsia="zh-CN"/>
              </w:rPr>
              <w:t>、地基基础</w:t>
            </w:r>
            <w:r>
              <w:rPr>
                <w:rFonts w:hint="eastAsia" w:ascii="宋体" w:hAnsi="宋体" w:cs="宋体"/>
                <w:color w:val="auto"/>
                <w:sz w:val="22"/>
                <w:szCs w:val="22"/>
                <w:highlight w:val="none"/>
                <w:lang w:val="en-US" w:eastAsia="zh-CN"/>
              </w:rPr>
              <w:t>检测</w:t>
            </w:r>
            <w:r>
              <w:rPr>
                <w:rFonts w:hint="eastAsia" w:ascii="宋体" w:hAnsi="宋体" w:eastAsia="宋体" w:cs="宋体"/>
                <w:color w:val="auto"/>
                <w:sz w:val="22"/>
                <w:szCs w:val="22"/>
                <w:highlight w:val="none"/>
                <w:lang w:val="en-US" w:eastAsia="zh-CN"/>
              </w:rPr>
              <w:t>上岗证的</w:t>
            </w:r>
            <w:r>
              <w:rPr>
                <w:rFonts w:hint="eastAsia" w:ascii="宋体" w:hAnsi="宋体" w:cs="宋体"/>
                <w:color w:val="auto"/>
                <w:sz w:val="22"/>
                <w:szCs w:val="22"/>
                <w:highlight w:val="none"/>
                <w:lang w:val="en-US" w:eastAsia="zh-CN"/>
              </w:rPr>
              <w:t>的</w:t>
            </w:r>
            <w:r>
              <w:rPr>
                <w:rFonts w:hint="eastAsia" w:ascii="宋体" w:hAnsi="宋体" w:eastAsia="宋体" w:cs="宋体"/>
                <w:color w:val="auto"/>
                <w:sz w:val="22"/>
                <w:szCs w:val="22"/>
                <w:highlight w:val="none"/>
                <w:lang w:val="en-US" w:eastAsia="zh-CN"/>
              </w:rPr>
              <w:t>得0.5分，最高得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lang w:val="en-US" w:eastAsia="zh-CN"/>
              </w:rPr>
              <w:t>分</w:t>
            </w:r>
            <w:r>
              <w:rPr>
                <w:rFonts w:hint="eastAsia" w:ascii="宋体" w:hAnsi="宋体" w:cs="宋体"/>
                <w:color w:val="auto"/>
                <w:sz w:val="22"/>
                <w:szCs w:val="22"/>
                <w:highlight w:val="none"/>
                <w:lang w:val="en-US" w:eastAsia="zh-CN"/>
              </w:rPr>
              <w:t>；                               （</w:t>
            </w:r>
            <w:r>
              <w:rPr>
                <w:rFonts w:hint="eastAsia" w:ascii="宋体" w:hAnsi="宋体" w:eastAsia="宋体" w:cs="宋体"/>
                <w:color w:val="auto"/>
                <w:kern w:val="2"/>
                <w:sz w:val="22"/>
                <w:szCs w:val="22"/>
                <w:highlight w:val="none"/>
                <w:lang w:val="en-US" w:eastAsia="zh-CN" w:bidi="ar-SA"/>
              </w:rPr>
              <w:t>提供</w:t>
            </w:r>
            <w:r>
              <w:rPr>
                <w:rFonts w:hint="eastAsia" w:ascii="宋体" w:hAnsi="宋体" w:cs="宋体"/>
                <w:color w:val="auto"/>
                <w:kern w:val="2"/>
                <w:sz w:val="22"/>
                <w:szCs w:val="22"/>
                <w:highlight w:val="none"/>
                <w:lang w:val="en-US" w:eastAsia="zh-CN" w:bidi="ar-SA"/>
              </w:rPr>
              <w:t>相应</w:t>
            </w:r>
            <w:r>
              <w:rPr>
                <w:rFonts w:hint="eastAsia" w:ascii="宋体" w:hAnsi="宋体" w:eastAsia="宋体" w:cs="宋体"/>
                <w:color w:val="auto"/>
                <w:kern w:val="2"/>
                <w:sz w:val="22"/>
                <w:szCs w:val="22"/>
                <w:highlight w:val="none"/>
                <w:lang w:val="zh-CN" w:eastAsia="zh-CN" w:bidi="ar-SA"/>
              </w:rPr>
              <w:t>证书</w:t>
            </w:r>
            <w:r>
              <w:rPr>
                <w:rFonts w:hint="eastAsia" w:ascii="宋体" w:hAnsi="宋体" w:eastAsia="宋体" w:cs="宋体"/>
                <w:color w:val="auto"/>
                <w:kern w:val="2"/>
                <w:sz w:val="22"/>
                <w:szCs w:val="22"/>
                <w:highlight w:val="none"/>
                <w:lang w:val="en-US" w:eastAsia="zh-CN" w:bidi="ar-SA"/>
              </w:rPr>
              <w:t>和</w:t>
            </w:r>
            <w:r>
              <w:rPr>
                <w:rFonts w:hint="eastAsia" w:ascii="宋体" w:hAnsi="宋体" w:eastAsia="宋体" w:cs="宋体"/>
                <w:color w:val="auto"/>
                <w:kern w:val="2"/>
                <w:sz w:val="22"/>
                <w:szCs w:val="22"/>
                <w:highlight w:val="none"/>
                <w:lang w:val="zh-CN" w:eastAsia="zh-CN" w:bidi="ar-SA"/>
              </w:rPr>
              <w:t>近三个月社保证明材料复印件并加盖单位公章</w:t>
            </w:r>
            <w:r>
              <w:rPr>
                <w:rFonts w:hint="eastAsia" w:ascii="宋体" w:hAnsi="宋体" w:cs="宋体"/>
                <w:color w:val="auto"/>
                <w:kern w:val="2"/>
                <w:sz w:val="22"/>
                <w:szCs w:val="22"/>
                <w:highlight w:val="none"/>
                <w:lang w:val="zh-CN" w:eastAsia="zh-CN" w:bidi="ar-SA"/>
              </w:rPr>
              <w:t>）</w:t>
            </w:r>
          </w:p>
        </w:tc>
        <w:tc>
          <w:tcPr>
            <w:tcW w:w="479" w:type="pct"/>
            <w:tcBorders>
              <w:top w:val="single" w:color="auto" w:sz="4" w:space="0"/>
              <w:left w:val="single" w:color="auto" w:sz="4" w:space="0"/>
              <w:right w:val="single" w:color="auto" w:sz="4" w:space="0"/>
            </w:tcBorders>
            <w:noWrap w:val="0"/>
            <w:vAlign w:val="center"/>
          </w:tcPr>
          <w:p>
            <w:pPr>
              <w:spacing w:line="320" w:lineRule="exact"/>
              <w:jc w:val="center"/>
              <w:rPr>
                <w:rFonts w:hint="default" w:ascii="宋体" w:hAnsi="宋体" w:eastAsia="宋体" w:cs="宋体"/>
                <w:b w:val="0"/>
                <w:bCs w:val="0"/>
                <w:color w:val="auto"/>
                <w:kern w:val="2"/>
                <w:sz w:val="22"/>
                <w:szCs w:val="22"/>
                <w:highlight w:val="none"/>
                <w:lang w:val="en-US" w:eastAsia="zh-CN" w:bidi="ar-SA"/>
              </w:rPr>
            </w:pPr>
            <w:r>
              <w:rPr>
                <w:rFonts w:hint="eastAsia" w:ascii="宋体" w:hAnsi="宋体" w:cs="宋体"/>
                <w:b w:val="0"/>
                <w:bCs w:val="0"/>
                <w:color w:val="auto"/>
                <w:kern w:val="2"/>
                <w:sz w:val="22"/>
                <w:szCs w:val="22"/>
                <w:highlight w:val="no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45"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lang w:val="en-US" w:eastAsia="zh-CN"/>
              </w:rPr>
            </w:pPr>
          </w:p>
        </w:tc>
        <w:tc>
          <w:tcPr>
            <w:tcW w:w="2972" w:type="pct"/>
            <w:tcBorders>
              <w:top w:val="single" w:color="auto" w:sz="4" w:space="0"/>
              <w:left w:val="single" w:color="auto" w:sz="4" w:space="0"/>
              <w:right w:val="single" w:color="auto" w:sz="4" w:space="0"/>
            </w:tcBorders>
            <w:noWrap w:val="0"/>
            <w:vAlign w:val="center"/>
          </w:tcPr>
          <w:p>
            <w:pPr>
              <w:spacing w:line="300" w:lineRule="exact"/>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拟投入本项目人员除项目负责人、技术负责人外具有省建设行政主管部门颁发的建设工程结构检测岗位证书的专职检测人员3人</w:t>
            </w:r>
            <w:r>
              <w:rPr>
                <w:rFonts w:hint="eastAsia" w:ascii="宋体" w:hAnsi="宋体" w:cs="宋体"/>
                <w:color w:val="auto"/>
                <w:sz w:val="22"/>
                <w:szCs w:val="22"/>
                <w:highlight w:val="none"/>
                <w:lang w:val="en-US" w:eastAsia="zh-CN"/>
              </w:rPr>
              <w:t>及以下得0分，4人得1分，每增加一个得1分，最高得5分；</w:t>
            </w:r>
          </w:p>
          <w:p>
            <w:pPr>
              <w:spacing w:line="30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kern w:val="2"/>
                <w:sz w:val="22"/>
                <w:szCs w:val="22"/>
                <w:highlight w:val="none"/>
                <w:lang w:val="en-US" w:eastAsia="zh-CN" w:bidi="ar-SA"/>
              </w:rPr>
              <w:t>提供</w:t>
            </w:r>
            <w:r>
              <w:rPr>
                <w:rFonts w:hint="eastAsia" w:ascii="宋体" w:hAnsi="宋体" w:cs="宋体"/>
                <w:color w:val="auto"/>
                <w:kern w:val="2"/>
                <w:sz w:val="22"/>
                <w:szCs w:val="22"/>
                <w:highlight w:val="none"/>
                <w:lang w:val="en-US" w:eastAsia="zh-CN" w:bidi="ar-SA"/>
              </w:rPr>
              <w:t>相应</w:t>
            </w:r>
            <w:r>
              <w:rPr>
                <w:rFonts w:hint="eastAsia" w:ascii="宋体" w:hAnsi="宋体" w:eastAsia="宋体" w:cs="宋体"/>
                <w:color w:val="auto"/>
                <w:kern w:val="2"/>
                <w:sz w:val="22"/>
                <w:szCs w:val="22"/>
                <w:highlight w:val="none"/>
                <w:lang w:val="zh-CN" w:eastAsia="zh-CN" w:bidi="ar-SA"/>
              </w:rPr>
              <w:t>证书</w:t>
            </w:r>
            <w:r>
              <w:rPr>
                <w:rFonts w:hint="eastAsia" w:ascii="宋体" w:hAnsi="宋体" w:eastAsia="宋体" w:cs="宋体"/>
                <w:color w:val="auto"/>
                <w:kern w:val="2"/>
                <w:sz w:val="22"/>
                <w:szCs w:val="22"/>
                <w:highlight w:val="none"/>
                <w:lang w:val="en-US" w:eastAsia="zh-CN" w:bidi="ar-SA"/>
              </w:rPr>
              <w:t>和</w:t>
            </w:r>
            <w:r>
              <w:rPr>
                <w:rFonts w:hint="eastAsia" w:ascii="宋体" w:hAnsi="宋体" w:eastAsia="宋体" w:cs="宋体"/>
                <w:color w:val="auto"/>
                <w:kern w:val="2"/>
                <w:sz w:val="22"/>
                <w:szCs w:val="22"/>
                <w:highlight w:val="none"/>
                <w:lang w:val="zh-CN" w:eastAsia="zh-CN" w:bidi="ar-SA"/>
              </w:rPr>
              <w:t>近三个月社保证明材料复印件并加盖单位公章</w:t>
            </w:r>
            <w:r>
              <w:rPr>
                <w:rFonts w:hint="eastAsia" w:ascii="宋体" w:hAnsi="宋体" w:eastAsia="宋体" w:cs="宋体"/>
                <w:color w:val="auto"/>
                <w:sz w:val="22"/>
                <w:szCs w:val="22"/>
                <w:highlight w:val="none"/>
                <w:lang w:val="en-US" w:eastAsia="zh-CN"/>
              </w:rPr>
              <w:t>）</w:t>
            </w:r>
          </w:p>
        </w:tc>
        <w:tc>
          <w:tcPr>
            <w:tcW w:w="479" w:type="pct"/>
            <w:tcBorders>
              <w:top w:val="single" w:color="auto" w:sz="4" w:space="0"/>
              <w:left w:val="single" w:color="auto" w:sz="4" w:space="0"/>
              <w:right w:val="single" w:color="auto" w:sz="4" w:space="0"/>
            </w:tcBorders>
            <w:noWrap w:val="0"/>
            <w:vAlign w:val="center"/>
          </w:tcPr>
          <w:p>
            <w:pPr>
              <w:spacing w:line="320" w:lineRule="exact"/>
              <w:jc w:val="center"/>
              <w:rPr>
                <w:rFonts w:hint="eastAsia" w:ascii="宋体" w:hAnsi="宋体" w:eastAsia="宋体" w:cs="宋体"/>
                <w:b w:val="0"/>
                <w:bCs w:val="0"/>
                <w:color w:val="auto"/>
                <w:kern w:val="2"/>
                <w:sz w:val="22"/>
                <w:szCs w:val="22"/>
                <w:highlight w:val="none"/>
                <w:lang w:val="en-US" w:eastAsia="zh-CN" w:bidi="ar-SA"/>
              </w:rPr>
            </w:pPr>
            <w:r>
              <w:rPr>
                <w:rFonts w:hint="eastAsia" w:ascii="宋体" w:hAnsi="宋体" w:cs="宋体"/>
                <w:b w:val="0"/>
                <w:bCs w:val="0"/>
                <w:color w:val="auto"/>
                <w:kern w:val="2"/>
                <w:sz w:val="22"/>
                <w:szCs w:val="22"/>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645"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设备配备</w:t>
            </w:r>
          </w:p>
        </w:tc>
        <w:tc>
          <w:tcPr>
            <w:tcW w:w="2972" w:type="pct"/>
            <w:tcBorders>
              <w:top w:val="single" w:color="auto" w:sz="4" w:space="0"/>
              <w:left w:val="single" w:color="auto" w:sz="4" w:space="0"/>
              <w:right w:val="single" w:color="auto" w:sz="4" w:space="0"/>
            </w:tcBorders>
            <w:noWrap w:val="0"/>
            <w:vAlign w:val="center"/>
          </w:tcPr>
          <w:p>
            <w:pPr>
              <w:spacing w:line="360" w:lineRule="exact"/>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评委根据投标人对本项目检测配备的主要检测仪器，设备科学合理，是否满足项目检测需要进行打分；</w:t>
            </w:r>
          </w:p>
        </w:tc>
        <w:tc>
          <w:tcPr>
            <w:tcW w:w="479" w:type="pct"/>
            <w:tcBorders>
              <w:top w:val="single" w:color="auto" w:sz="4" w:space="0"/>
              <w:left w:val="single" w:color="auto" w:sz="4" w:space="0"/>
              <w:right w:val="single" w:color="auto" w:sz="4" w:space="0"/>
            </w:tcBorders>
            <w:noWrap w:val="0"/>
            <w:vAlign w:val="center"/>
          </w:tcPr>
          <w:p>
            <w:pPr>
              <w:spacing w:line="360" w:lineRule="auto"/>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45"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本地化服务</w:t>
            </w:r>
          </w:p>
        </w:tc>
        <w:tc>
          <w:tcPr>
            <w:tcW w:w="2972" w:type="pct"/>
            <w:tcBorders>
              <w:top w:val="single" w:color="auto" w:sz="4" w:space="0"/>
              <w:left w:val="single" w:color="auto" w:sz="4" w:space="0"/>
              <w:right w:val="single" w:color="auto" w:sz="4" w:space="0"/>
            </w:tcBorders>
            <w:noWrap w:val="0"/>
            <w:vAlign w:val="center"/>
          </w:tcPr>
          <w:p>
            <w:pPr>
              <w:spacing w:line="360" w:lineRule="exact"/>
              <w:jc w:val="lef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评委根据投标人提出针对本项目的本地化服务能力进行打分（在</w:t>
            </w:r>
            <w:r>
              <w:rPr>
                <w:rFonts w:hint="eastAsia" w:ascii="宋体" w:hAnsi="宋体" w:cs="宋体"/>
                <w:color w:val="auto"/>
                <w:sz w:val="22"/>
                <w:szCs w:val="22"/>
                <w:highlight w:val="none"/>
                <w:lang w:val="en-US" w:eastAsia="zh-CN"/>
              </w:rPr>
              <w:t>该项目所在</w:t>
            </w:r>
            <w:r>
              <w:rPr>
                <w:rFonts w:hint="eastAsia" w:ascii="宋体" w:hAnsi="宋体" w:eastAsia="宋体" w:cs="宋体"/>
                <w:color w:val="auto"/>
                <w:sz w:val="22"/>
                <w:szCs w:val="22"/>
                <w:highlight w:val="none"/>
                <w:lang w:val="en-US" w:eastAsia="zh-CN"/>
              </w:rPr>
              <w:t>地有检测场所及相应检测设备且通过省级及以上计量认证证书）的得5分；</w:t>
            </w:r>
          </w:p>
          <w:p>
            <w:pPr>
              <w:pStyle w:val="2"/>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（需提供相关证明资料复印件加盖公章）</w:t>
            </w:r>
          </w:p>
        </w:tc>
        <w:tc>
          <w:tcPr>
            <w:tcW w:w="479" w:type="pct"/>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645" w:type="pct"/>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hint="eastAsia" w:ascii="宋体" w:hAnsi="宋体" w:eastAsia="宋体" w:cs="宋体"/>
                <w:color w:val="auto"/>
                <w:sz w:val="22"/>
                <w:szCs w:val="22"/>
                <w:highlight w:val="none"/>
              </w:rPr>
            </w:pPr>
          </w:p>
        </w:tc>
        <w:tc>
          <w:tcPr>
            <w:tcW w:w="902" w:type="pc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投标文本质量</w:t>
            </w:r>
          </w:p>
        </w:tc>
        <w:tc>
          <w:tcPr>
            <w:tcW w:w="2972" w:type="pct"/>
            <w:tcBorders>
              <w:top w:val="single" w:color="auto" w:sz="4" w:space="0"/>
              <w:left w:val="single" w:color="auto" w:sz="4" w:space="0"/>
              <w:right w:val="single" w:color="auto" w:sz="4" w:space="0"/>
            </w:tcBorders>
            <w:noWrap w:val="0"/>
            <w:vAlign w:val="center"/>
          </w:tcPr>
          <w:p>
            <w:pPr>
              <w:widowControl/>
              <w:spacing w:line="360" w:lineRule="exact"/>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评委根据</w:t>
            </w:r>
            <w:r>
              <w:rPr>
                <w:rFonts w:hint="eastAsia" w:ascii="宋体" w:hAnsi="宋体" w:eastAsia="宋体" w:cs="宋体"/>
                <w:color w:val="auto"/>
                <w:sz w:val="22"/>
                <w:szCs w:val="22"/>
                <w:highlight w:val="none"/>
                <w:lang w:val="en-US" w:eastAsia="zh-CN"/>
              </w:rPr>
              <w:t>投标人</w:t>
            </w:r>
            <w:r>
              <w:rPr>
                <w:rFonts w:hint="eastAsia" w:ascii="宋体" w:hAnsi="宋体" w:eastAsia="宋体" w:cs="宋体"/>
                <w:color w:val="auto"/>
                <w:sz w:val="22"/>
                <w:szCs w:val="22"/>
                <w:highlight w:val="none"/>
              </w:rPr>
              <w:t>响应文件的内容详实、条理清晰、有无错误、与招标文件的评分要点准确设置关联点、文本图片清晰、前后矛盾等情况进行打分</w:t>
            </w:r>
            <w:r>
              <w:rPr>
                <w:rFonts w:hint="eastAsia" w:ascii="宋体" w:hAnsi="宋体" w:eastAsia="宋体" w:cs="宋体"/>
                <w:color w:val="auto"/>
                <w:sz w:val="22"/>
                <w:szCs w:val="22"/>
                <w:highlight w:val="none"/>
                <w:lang w:eastAsia="zh-CN"/>
              </w:rPr>
              <w:t>；</w:t>
            </w:r>
          </w:p>
        </w:tc>
        <w:tc>
          <w:tcPr>
            <w:tcW w:w="479" w:type="pct"/>
            <w:tcBorders>
              <w:top w:val="single" w:color="auto" w:sz="4" w:space="0"/>
              <w:left w:val="single" w:color="auto" w:sz="4" w:space="0"/>
              <w:right w:val="single" w:color="auto" w:sz="4" w:space="0"/>
            </w:tcBorders>
            <w:noWrap w:val="0"/>
            <w:vAlign w:val="center"/>
          </w:tcPr>
          <w:p>
            <w:pPr>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45" w:type="pct"/>
            <w:vMerge w:val="restart"/>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商务资信</w:t>
            </w:r>
          </w:p>
          <w:p>
            <w:pPr>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1</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分</w:t>
            </w:r>
            <w:r>
              <w:rPr>
                <w:rFonts w:hint="eastAsia" w:ascii="宋体" w:hAnsi="宋体" w:eastAsia="宋体" w:cs="宋体"/>
                <w:color w:val="auto"/>
                <w:sz w:val="22"/>
                <w:szCs w:val="22"/>
                <w:highlight w:val="none"/>
              </w:rPr>
              <w:t>）</w:t>
            </w:r>
          </w:p>
        </w:tc>
        <w:tc>
          <w:tcPr>
            <w:tcW w:w="902" w:type="pct"/>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440" w:firstLineChars="200"/>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企业业绩</w:t>
            </w: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投标人</w:t>
            </w:r>
            <w:r>
              <w:rPr>
                <w:rFonts w:hint="eastAsia" w:ascii="宋体" w:hAnsi="宋体" w:eastAsia="宋体" w:cs="宋体"/>
                <w:color w:val="auto"/>
                <w:sz w:val="22"/>
                <w:szCs w:val="22"/>
                <w:highlight w:val="none"/>
              </w:rPr>
              <w:t>自2016年1月1日</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以合同签定时间为准）</w:t>
            </w:r>
            <w:r>
              <w:rPr>
                <w:rFonts w:hint="eastAsia" w:ascii="宋体" w:hAnsi="宋体" w:eastAsia="宋体" w:cs="宋体"/>
                <w:color w:val="auto"/>
                <w:sz w:val="22"/>
                <w:szCs w:val="22"/>
                <w:highlight w:val="none"/>
              </w:rPr>
              <w:t>以来承担过</w:t>
            </w:r>
            <w:r>
              <w:rPr>
                <w:rFonts w:hint="eastAsia" w:ascii="宋体" w:hAnsi="宋体" w:eastAsia="宋体" w:cs="宋体"/>
                <w:color w:val="auto"/>
                <w:sz w:val="22"/>
                <w:szCs w:val="22"/>
                <w:highlight w:val="none"/>
                <w:lang w:val="en-US" w:eastAsia="zh-CN"/>
              </w:rPr>
              <w:t>类似的房屋安全结构检测鉴定项目的</w:t>
            </w:r>
            <w:r>
              <w:rPr>
                <w:rFonts w:hint="eastAsia" w:ascii="宋体" w:hAnsi="宋体" w:eastAsia="宋体" w:cs="宋体"/>
                <w:color w:val="auto"/>
                <w:sz w:val="22"/>
                <w:szCs w:val="22"/>
                <w:highlight w:val="none"/>
              </w:rPr>
              <w:t>，每个得</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分，最高得</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分</w:t>
            </w:r>
            <w:r>
              <w:rPr>
                <w:rFonts w:hint="eastAsia" w:ascii="宋体" w:hAnsi="宋体" w:eastAsia="宋体" w:cs="宋体"/>
                <w:color w:val="auto"/>
                <w:sz w:val="22"/>
                <w:szCs w:val="22"/>
                <w:highlight w:val="none"/>
                <w:lang w:val="en-US" w:eastAsia="zh-CN"/>
              </w:rPr>
              <w:t xml:space="preserve"> ；</w:t>
            </w:r>
          </w:p>
        </w:tc>
        <w:tc>
          <w:tcPr>
            <w:tcW w:w="479"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tcBorders>
              <w:top w:val="single" w:color="auto" w:sz="4" w:space="0"/>
              <w:left w:val="single" w:color="auto" w:sz="4" w:space="0"/>
              <w:right w:val="single" w:color="auto" w:sz="4" w:space="0"/>
            </w:tcBorders>
            <w:noWrap w:val="0"/>
            <w:vAlign w:val="center"/>
          </w:tcPr>
          <w:p>
            <w:pPr>
              <w:spacing w:line="360" w:lineRule="auto"/>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企业科研力量</w:t>
            </w: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投标人具有地市级及以上研发中心单位的，获得省级高新技术企业研究开发中心的得</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lang w:val="en-US" w:eastAsia="zh-CN"/>
              </w:rPr>
              <w:t>分；市级的得</w:t>
            </w:r>
            <w:r>
              <w:rPr>
                <w:rFonts w:hint="eastAsia" w:ascii="宋体" w:hAnsi="宋体" w:cs="宋体"/>
                <w:color w:val="auto"/>
                <w:sz w:val="22"/>
                <w:szCs w:val="22"/>
                <w:highlight w:val="none"/>
                <w:lang w:val="en-US" w:eastAsia="zh-CN"/>
              </w:rPr>
              <w:t>1.5</w:t>
            </w:r>
            <w:r>
              <w:rPr>
                <w:rFonts w:hint="eastAsia" w:ascii="宋体" w:hAnsi="宋体" w:eastAsia="宋体" w:cs="宋体"/>
                <w:color w:val="auto"/>
                <w:sz w:val="22"/>
                <w:szCs w:val="22"/>
                <w:highlight w:val="none"/>
                <w:lang w:val="en-US" w:eastAsia="zh-CN"/>
              </w:rPr>
              <w:t>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sz w:val="24"/>
                <w:szCs w:val="24"/>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restart"/>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企业资信</w:t>
            </w: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投标人具有房屋结构鉴定或检测相关新型专利的，每项得1分，最高得</w:t>
            </w:r>
            <w:r>
              <w:rPr>
                <w:rFonts w:hint="eastAsia" w:ascii="宋体" w:hAnsi="宋体" w:cs="宋体"/>
                <w:color w:val="auto"/>
                <w:kern w:val="2"/>
                <w:sz w:val="22"/>
                <w:szCs w:val="22"/>
                <w:highlight w:val="none"/>
                <w:lang w:val="en-US" w:eastAsia="zh-CN" w:bidi="ar-SA"/>
              </w:rPr>
              <w:t>2</w:t>
            </w:r>
            <w:r>
              <w:rPr>
                <w:rFonts w:hint="eastAsia" w:ascii="宋体" w:hAnsi="宋体" w:eastAsia="宋体" w:cs="宋体"/>
                <w:color w:val="auto"/>
                <w:kern w:val="2"/>
                <w:sz w:val="22"/>
                <w:szCs w:val="22"/>
                <w:highlight w:val="none"/>
                <w:lang w:val="en-US" w:eastAsia="zh-CN" w:bidi="ar-SA"/>
              </w:rPr>
              <w:t>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color w:val="auto"/>
                <w:kern w:val="2"/>
                <w:sz w:val="24"/>
                <w:szCs w:val="24"/>
                <w:highlight w:val="none"/>
                <w:lang w:val="en-US" w:eastAsia="zh-CN" w:bidi="ar-SA"/>
              </w:rPr>
            </w:pPr>
            <w:r>
              <w:rPr>
                <w:rFonts w:hint="eastAsia" w:ascii="宋体" w:hAnsi="宋体" w:cs="宋体"/>
                <w:b/>
                <w:color w:val="auto"/>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投标人具有建筑动态监测平台系统软件著作权、房屋安全动态监测系统软件著作权，每项得1分，最高得</w:t>
            </w:r>
            <w:r>
              <w:rPr>
                <w:rFonts w:hint="eastAsia" w:ascii="宋体" w:hAnsi="宋体" w:cs="宋体"/>
                <w:color w:val="auto"/>
                <w:kern w:val="2"/>
                <w:sz w:val="22"/>
                <w:szCs w:val="22"/>
                <w:highlight w:val="none"/>
                <w:lang w:val="en-US" w:eastAsia="zh-CN" w:bidi="ar-SA"/>
              </w:rPr>
              <w:t>2</w:t>
            </w:r>
            <w:r>
              <w:rPr>
                <w:rFonts w:hint="eastAsia" w:ascii="宋体" w:hAnsi="宋体" w:eastAsia="宋体" w:cs="宋体"/>
                <w:color w:val="auto"/>
                <w:kern w:val="2"/>
                <w:sz w:val="22"/>
                <w:szCs w:val="22"/>
                <w:highlight w:val="none"/>
                <w:lang w:val="en-US" w:eastAsia="zh-CN" w:bidi="ar-SA"/>
              </w:rPr>
              <w:t>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宋体" w:hAnsi="宋体" w:eastAsia="宋体" w:cs="宋体"/>
                <w:b/>
                <w:color w:val="auto"/>
                <w:kern w:val="2"/>
                <w:sz w:val="24"/>
                <w:szCs w:val="24"/>
                <w:highlight w:val="none"/>
                <w:lang w:val="en-US" w:eastAsia="zh-CN" w:bidi="ar-SA"/>
              </w:rPr>
            </w:pPr>
            <w:r>
              <w:rPr>
                <w:rFonts w:hint="eastAsia" w:ascii="宋体" w:hAnsi="宋体" w:cs="宋体"/>
                <w:b/>
                <w:color w:val="auto"/>
                <w:sz w:val="24"/>
                <w:szCs w:val="24"/>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645"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902" w:type="pct"/>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sz w:val="22"/>
                <w:szCs w:val="22"/>
                <w:highlight w:val="none"/>
              </w:rPr>
            </w:pPr>
          </w:p>
        </w:tc>
        <w:tc>
          <w:tcPr>
            <w:tcW w:w="2972"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近三年内被该实施项目当地政府部门评为优秀中介企业的</w:t>
            </w:r>
            <w:r>
              <w:rPr>
                <w:rFonts w:hint="eastAsia" w:ascii="宋体" w:hAnsi="宋体" w:eastAsia="宋体" w:cs="宋体"/>
                <w:color w:val="auto"/>
                <w:sz w:val="22"/>
                <w:szCs w:val="22"/>
                <w:highlight w:val="none"/>
                <w:lang w:val="en-US" w:eastAsia="zh-CN"/>
              </w:rPr>
              <w:t>得</w:t>
            </w:r>
            <w:r>
              <w:rPr>
                <w:rFonts w:hint="eastAsia" w:ascii="宋体" w:hAnsi="宋体" w:cs="宋体"/>
                <w:color w:val="auto"/>
                <w:sz w:val="22"/>
                <w:szCs w:val="22"/>
                <w:highlight w:val="none"/>
                <w:lang w:val="en-US" w:eastAsia="zh-CN"/>
              </w:rPr>
              <w:t>2</w:t>
            </w:r>
            <w:r>
              <w:rPr>
                <w:rFonts w:hint="eastAsia" w:ascii="宋体" w:hAnsi="宋体" w:eastAsia="宋体" w:cs="宋体"/>
                <w:color w:val="auto"/>
                <w:sz w:val="22"/>
                <w:szCs w:val="22"/>
                <w:highlight w:val="none"/>
                <w:lang w:val="en-US" w:eastAsia="zh-CN"/>
              </w:rPr>
              <w:t>分；</w:t>
            </w:r>
          </w:p>
        </w:tc>
        <w:tc>
          <w:tcPr>
            <w:tcW w:w="479" w:type="pc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宋体" w:hAnsi="宋体" w:eastAsia="宋体" w:cs="宋体"/>
                <w:b/>
                <w:color w:val="auto"/>
                <w:sz w:val="22"/>
                <w:szCs w:val="22"/>
                <w:highlight w:val="none"/>
                <w:lang w:val="en-US" w:eastAsia="zh-CN"/>
              </w:rPr>
            </w:pPr>
            <w:r>
              <w:rPr>
                <w:rFonts w:hint="eastAsia" w:ascii="宋体" w:hAnsi="宋体" w:eastAsia="宋体" w:cs="宋体"/>
                <w:b/>
                <w:color w:val="auto"/>
                <w:sz w:val="22"/>
                <w:szCs w:val="22"/>
                <w:highlight w:val="none"/>
                <w:lang w:val="en-US" w:eastAsia="zh-CN"/>
              </w:rPr>
              <w:t>2</w:t>
            </w:r>
          </w:p>
        </w:tc>
      </w:tr>
    </w:tbl>
    <w:p>
      <w:pPr>
        <w:spacing w:line="360" w:lineRule="auto"/>
        <w:ind w:firstLine="482" w:firstLineChars="200"/>
        <w:rPr>
          <w:rFonts w:ascii="宋体" w:hAnsi="宋体" w:cs="宋体"/>
          <w:b/>
          <w:bCs/>
          <w:color w:val="auto"/>
          <w:sz w:val="24"/>
          <w:szCs w:val="21"/>
          <w:highlight w:val="none"/>
        </w:rPr>
      </w:pPr>
      <w:r>
        <w:rPr>
          <w:rFonts w:hint="eastAsia" w:ascii="宋体" w:hAnsi="宋体" w:cs="宋体"/>
          <w:b/>
          <w:bCs/>
          <w:color w:val="auto"/>
          <w:sz w:val="24"/>
          <w:szCs w:val="21"/>
          <w:highlight w:val="none"/>
        </w:rPr>
        <w:t>2、商务要求表</w:t>
      </w:r>
      <w:r>
        <w:rPr>
          <w:rFonts w:hint="eastAsia" w:ascii="宋体" w:hAnsi="宋体" w:cs="宋体"/>
          <w:color w:val="auto"/>
          <w:sz w:val="24"/>
          <w:szCs w:val="21"/>
          <w:highlight w:val="none"/>
        </w:rPr>
        <w:t>（对应评分标准）</w:t>
      </w:r>
    </w:p>
    <w:tbl>
      <w:tblPr>
        <w:tblStyle w:val="23"/>
        <w:tblW w:w="52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5"/>
        <w:gridCol w:w="1669"/>
        <w:gridCol w:w="6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496"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cs="宋体"/>
                <w:color w:val="auto"/>
                <w:sz w:val="24"/>
                <w:highlight w:val="none"/>
              </w:rPr>
            </w:pPr>
            <w:r>
              <w:rPr>
                <w:rFonts w:hint="eastAsia" w:ascii="宋体" w:hAnsi="宋体" w:eastAsia="宋体" w:cs="宋体"/>
                <w:color w:val="auto"/>
                <w:sz w:val="22"/>
                <w:szCs w:val="22"/>
                <w:highlight w:val="none"/>
              </w:rPr>
              <w:t>资信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4"/>
                <w:highlight w:val="none"/>
              </w:rPr>
            </w:pPr>
            <w:r>
              <w:rPr>
                <w:rFonts w:hint="eastAsia" w:ascii="宋体" w:hAnsi="宋体" w:eastAsia="宋体" w:cs="宋体"/>
                <w:color w:val="auto"/>
                <w:kern w:val="0"/>
                <w:sz w:val="22"/>
                <w:szCs w:val="22"/>
                <w:highlight w:val="none"/>
                <w:lang w:val="en-US" w:eastAsia="zh-CN"/>
              </w:rPr>
              <w:t>企业</w:t>
            </w:r>
            <w:r>
              <w:rPr>
                <w:rFonts w:hint="eastAsia" w:ascii="宋体" w:hAnsi="宋体" w:eastAsia="宋体" w:cs="宋体"/>
                <w:color w:val="auto"/>
                <w:kern w:val="0"/>
                <w:sz w:val="22"/>
                <w:szCs w:val="22"/>
                <w:highlight w:val="none"/>
              </w:rPr>
              <w:t>业绩</w:t>
            </w:r>
          </w:p>
        </w:tc>
        <w:tc>
          <w:tcPr>
            <w:tcW w:w="6576"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eastAsia="宋体"/>
                <w:color w:val="auto"/>
                <w:highlight w:val="none"/>
                <w:lang w:eastAsia="zh-CN"/>
              </w:rPr>
            </w:pPr>
            <w:r>
              <w:rPr>
                <w:rFonts w:hint="eastAsia" w:ascii="宋体" w:hAnsi="宋体" w:eastAsia="宋体" w:cs="宋体"/>
                <w:color w:val="auto"/>
                <w:sz w:val="22"/>
                <w:szCs w:val="22"/>
                <w:highlight w:val="none"/>
              </w:rPr>
              <w:t>提供合同复印件、</w:t>
            </w:r>
            <w:r>
              <w:rPr>
                <w:rFonts w:hint="eastAsia" w:ascii="宋体" w:hAnsi="宋体" w:eastAsia="宋体" w:cs="宋体"/>
                <w:color w:val="auto"/>
                <w:sz w:val="22"/>
                <w:szCs w:val="22"/>
                <w:highlight w:val="none"/>
                <w:lang w:eastAsia="zh-CN"/>
              </w:rPr>
              <w:t>项目完成的相关证明材料</w:t>
            </w:r>
            <w:r>
              <w:rPr>
                <w:rFonts w:hint="eastAsia" w:ascii="宋体" w:hAnsi="宋体" w:eastAsia="宋体" w:cs="宋体"/>
                <w:color w:val="auto"/>
                <w:sz w:val="22"/>
                <w:szCs w:val="22"/>
                <w:highlight w:val="none"/>
              </w:rPr>
              <w:t>复印件并加盖</w:t>
            </w:r>
            <w:r>
              <w:rPr>
                <w:rFonts w:hint="eastAsia" w:ascii="宋体" w:hAnsi="宋体" w:cs="宋体"/>
                <w:color w:val="auto"/>
                <w:sz w:val="22"/>
                <w:szCs w:val="22"/>
                <w:highlight w:val="none"/>
                <w:lang w:val="en-US" w:eastAsia="zh-CN"/>
              </w:rPr>
              <w:t>单位</w:t>
            </w:r>
            <w:r>
              <w:rPr>
                <w:rFonts w:hint="eastAsia" w:ascii="宋体" w:hAnsi="宋体" w:eastAsia="宋体" w:cs="宋体"/>
                <w:color w:val="auto"/>
                <w:sz w:val="22"/>
                <w:szCs w:val="22"/>
                <w:highlight w:val="none"/>
              </w:rPr>
              <w:t>公章</w:t>
            </w:r>
            <w:r>
              <w:rPr>
                <w:rFonts w:hint="eastAsia" w:ascii="宋体" w:hAnsi="宋体" w:cs="宋体"/>
                <w:color w:val="auto"/>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496" w:type="dxa"/>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p>
        </w:tc>
        <w:tc>
          <w:tcPr>
            <w:tcW w:w="1669"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0"/>
                <w:sz w:val="22"/>
                <w:szCs w:val="22"/>
                <w:highlight w:val="none"/>
                <w:lang w:val="en-US" w:eastAsia="zh-CN" w:bidi="ar-SA"/>
              </w:rPr>
            </w:pPr>
            <w:r>
              <w:rPr>
                <w:rFonts w:hint="eastAsia" w:ascii="宋体" w:hAnsi="宋体" w:cs="宋体"/>
                <w:color w:val="auto"/>
                <w:sz w:val="22"/>
                <w:szCs w:val="22"/>
                <w:highlight w:val="none"/>
                <w:lang w:val="en-US" w:eastAsia="zh-CN"/>
              </w:rPr>
              <w:t>企业科研力量</w:t>
            </w:r>
          </w:p>
        </w:tc>
        <w:tc>
          <w:tcPr>
            <w:tcW w:w="657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提供地市级及以上研发中心单位的相关证明资料复印件加盖</w:t>
            </w:r>
            <w:r>
              <w:rPr>
                <w:rFonts w:hint="eastAsia" w:ascii="宋体" w:hAnsi="宋体" w:cs="宋体"/>
                <w:color w:val="auto"/>
                <w:sz w:val="22"/>
                <w:szCs w:val="22"/>
                <w:highlight w:val="none"/>
                <w:lang w:val="en-US" w:eastAsia="zh-CN"/>
              </w:rPr>
              <w:t>单位</w:t>
            </w:r>
            <w:r>
              <w:rPr>
                <w:rFonts w:hint="eastAsia" w:ascii="宋体" w:hAnsi="宋体" w:eastAsia="宋体" w:cs="宋体"/>
                <w:color w:val="auto"/>
                <w:sz w:val="22"/>
                <w:szCs w:val="22"/>
                <w:highlight w:val="none"/>
                <w:lang w:val="en-US" w:eastAsia="zh-CN"/>
              </w:rPr>
              <w:t>公章</w:t>
            </w:r>
            <w:r>
              <w:rPr>
                <w:rFonts w:hint="eastAsia" w:ascii="宋体" w:hAnsi="宋体" w:cs="宋体"/>
                <w:color w:val="auto"/>
                <w:sz w:val="22"/>
                <w:szCs w:val="22"/>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496" w:type="dxa"/>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p>
        </w:tc>
        <w:tc>
          <w:tcPr>
            <w:tcW w:w="1669" w:type="dxa"/>
            <w:vMerge w:val="restart"/>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0"/>
                <w:sz w:val="22"/>
                <w:szCs w:val="22"/>
                <w:highlight w:val="none"/>
                <w:lang w:val="en-US" w:eastAsia="zh-CN"/>
              </w:rPr>
            </w:pPr>
            <w:r>
              <w:rPr>
                <w:rFonts w:hint="eastAsia" w:ascii="宋体" w:hAnsi="宋体" w:eastAsia="宋体" w:cs="宋体"/>
                <w:color w:val="auto"/>
                <w:sz w:val="22"/>
                <w:szCs w:val="22"/>
                <w:highlight w:val="none"/>
                <w:lang w:val="en-US" w:eastAsia="zh-CN"/>
              </w:rPr>
              <w:t>企业资信</w:t>
            </w:r>
          </w:p>
        </w:tc>
        <w:tc>
          <w:tcPr>
            <w:tcW w:w="657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sz w:val="22"/>
                <w:szCs w:val="22"/>
                <w:highlight w:val="none"/>
                <w:lang w:eastAsia="zh-CN"/>
              </w:rPr>
            </w:pPr>
            <w:r>
              <w:rPr>
                <w:rFonts w:hint="eastAsia" w:ascii="宋体" w:hAnsi="宋体" w:eastAsia="宋体" w:cs="宋体"/>
                <w:color w:val="auto"/>
                <w:kern w:val="0"/>
                <w:sz w:val="22"/>
                <w:szCs w:val="22"/>
                <w:highlight w:val="none"/>
                <w:lang w:val="en-US" w:eastAsia="zh-CN"/>
              </w:rPr>
              <w:t>提供</w:t>
            </w:r>
            <w:r>
              <w:rPr>
                <w:rFonts w:hint="eastAsia" w:ascii="宋体" w:hAnsi="宋体" w:eastAsia="宋体" w:cs="宋体"/>
                <w:color w:val="auto"/>
                <w:kern w:val="2"/>
                <w:sz w:val="22"/>
                <w:szCs w:val="22"/>
                <w:highlight w:val="none"/>
                <w:lang w:val="en-US" w:eastAsia="zh-CN" w:bidi="ar-SA"/>
              </w:rPr>
              <w:t>房屋鉴定检测相关的新型专利的</w:t>
            </w:r>
            <w:r>
              <w:rPr>
                <w:rFonts w:hint="eastAsia" w:ascii="宋体" w:hAnsi="宋体" w:eastAsia="宋体" w:cs="宋体"/>
                <w:color w:val="auto"/>
                <w:sz w:val="22"/>
                <w:szCs w:val="22"/>
                <w:highlight w:val="none"/>
                <w:lang w:eastAsia="zh-CN"/>
              </w:rPr>
              <w:t>相关证明材料</w:t>
            </w:r>
            <w:r>
              <w:rPr>
                <w:rFonts w:hint="eastAsia" w:ascii="宋体" w:hAnsi="宋体" w:eastAsia="宋体" w:cs="宋体"/>
                <w:color w:val="auto"/>
                <w:sz w:val="22"/>
                <w:szCs w:val="22"/>
                <w:highlight w:val="none"/>
              </w:rPr>
              <w:t>复印件并加盖</w:t>
            </w:r>
            <w:r>
              <w:rPr>
                <w:rFonts w:hint="eastAsia" w:ascii="宋体" w:hAnsi="宋体" w:cs="宋体"/>
                <w:color w:val="auto"/>
                <w:sz w:val="22"/>
                <w:szCs w:val="22"/>
                <w:highlight w:val="none"/>
                <w:lang w:val="en-US" w:eastAsia="zh-CN"/>
              </w:rPr>
              <w:t>单位</w:t>
            </w:r>
            <w:r>
              <w:rPr>
                <w:rFonts w:hint="eastAsia" w:ascii="宋体" w:hAnsi="宋体" w:eastAsia="宋体" w:cs="宋体"/>
                <w:color w:val="auto"/>
                <w:sz w:val="22"/>
                <w:szCs w:val="22"/>
                <w:highlight w:val="none"/>
              </w:rPr>
              <w:t>公章</w:t>
            </w:r>
            <w:r>
              <w:rPr>
                <w:rFonts w:hint="eastAsia" w:ascii="宋体" w:hAnsi="宋体" w:cs="宋体"/>
                <w:color w:val="auto"/>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496" w:type="dxa"/>
            <w:vMerge w:val="continue"/>
            <w:tcBorders>
              <w:left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p>
        </w:tc>
        <w:tc>
          <w:tcPr>
            <w:tcW w:w="1669"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0"/>
                <w:sz w:val="22"/>
                <w:szCs w:val="22"/>
                <w:highlight w:val="none"/>
                <w:lang w:val="en-US" w:eastAsia="zh-CN"/>
              </w:rPr>
            </w:pPr>
          </w:p>
        </w:tc>
        <w:tc>
          <w:tcPr>
            <w:tcW w:w="6576" w:type="dxa"/>
            <w:tcBorders>
              <w:top w:val="single" w:color="auto" w:sz="4" w:space="0"/>
              <w:left w:val="single" w:color="auto" w:sz="4" w:space="0"/>
              <w:bottom w:val="single" w:color="auto" w:sz="4" w:space="0"/>
              <w:right w:val="single" w:color="auto" w:sz="4" w:space="0"/>
            </w:tcBorders>
            <w:noWrap w:val="0"/>
            <w:vAlign w:val="center"/>
          </w:tcPr>
          <w:p>
            <w:pPr>
              <w:rPr>
                <w:rFonts w:hint="default"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lang w:val="en-US" w:eastAsia="zh-CN"/>
              </w:rPr>
              <w:t>提供</w:t>
            </w:r>
            <w:r>
              <w:rPr>
                <w:rFonts w:hint="eastAsia" w:ascii="宋体" w:hAnsi="宋体" w:eastAsia="宋体" w:cs="宋体"/>
                <w:color w:val="auto"/>
                <w:kern w:val="2"/>
                <w:sz w:val="22"/>
                <w:szCs w:val="22"/>
                <w:highlight w:val="none"/>
                <w:lang w:val="en-US" w:eastAsia="zh-CN" w:bidi="ar-SA"/>
              </w:rPr>
              <w:t>建筑动态监测平台系统软件著作权、房屋安全动态监测系统软件著作权的</w:t>
            </w:r>
            <w:r>
              <w:rPr>
                <w:rFonts w:hint="eastAsia" w:ascii="宋体" w:hAnsi="宋体" w:eastAsia="宋体" w:cs="宋体"/>
                <w:color w:val="auto"/>
                <w:sz w:val="22"/>
                <w:szCs w:val="22"/>
                <w:highlight w:val="none"/>
                <w:lang w:eastAsia="zh-CN"/>
              </w:rPr>
              <w:t>相关证明材料</w:t>
            </w:r>
            <w:r>
              <w:rPr>
                <w:rFonts w:hint="eastAsia" w:ascii="宋体" w:hAnsi="宋体" w:eastAsia="宋体" w:cs="宋体"/>
                <w:color w:val="auto"/>
                <w:sz w:val="22"/>
                <w:szCs w:val="22"/>
                <w:highlight w:val="none"/>
              </w:rPr>
              <w:t>复印件并加盖</w:t>
            </w:r>
            <w:r>
              <w:rPr>
                <w:rFonts w:hint="eastAsia" w:ascii="宋体" w:hAnsi="宋体" w:cs="宋体"/>
                <w:color w:val="auto"/>
                <w:sz w:val="22"/>
                <w:szCs w:val="22"/>
                <w:highlight w:val="none"/>
                <w:lang w:val="en-US" w:eastAsia="zh-CN"/>
              </w:rPr>
              <w:t>单位</w:t>
            </w:r>
            <w:r>
              <w:rPr>
                <w:rFonts w:hint="eastAsia" w:ascii="宋体" w:hAnsi="宋体" w:eastAsia="宋体" w:cs="宋体"/>
                <w:color w:val="auto"/>
                <w:sz w:val="22"/>
                <w:szCs w:val="22"/>
                <w:highlight w:val="none"/>
              </w:rPr>
              <w:t>公章</w:t>
            </w:r>
            <w:r>
              <w:rPr>
                <w:rFonts w:hint="eastAsia" w:ascii="宋体" w:hAnsi="宋体" w:cs="宋体"/>
                <w:color w:val="auto"/>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496" w:type="dxa"/>
            <w:vMerge w:val="continue"/>
            <w:tcBorders>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sz w:val="22"/>
                <w:szCs w:val="22"/>
                <w:highlight w:val="none"/>
              </w:rPr>
            </w:pPr>
          </w:p>
        </w:tc>
        <w:tc>
          <w:tcPr>
            <w:tcW w:w="1669"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0"/>
                <w:sz w:val="22"/>
                <w:szCs w:val="22"/>
                <w:highlight w:val="none"/>
                <w:lang w:val="en-US" w:eastAsia="zh-CN"/>
              </w:rPr>
            </w:pPr>
          </w:p>
        </w:tc>
        <w:tc>
          <w:tcPr>
            <w:tcW w:w="657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22"/>
                <w:szCs w:val="22"/>
                <w:highlight w:val="none"/>
                <w:lang w:val="en-US" w:eastAsia="zh-CN"/>
              </w:rPr>
            </w:pPr>
            <w:r>
              <w:rPr>
                <w:rFonts w:hint="eastAsia" w:ascii="宋体" w:hAnsi="宋体" w:cs="宋体"/>
                <w:color w:val="auto"/>
                <w:sz w:val="22"/>
                <w:szCs w:val="22"/>
                <w:highlight w:val="none"/>
                <w:lang w:val="en-US" w:eastAsia="zh-CN"/>
              </w:rPr>
              <w:t>提供优秀中介企业</w:t>
            </w:r>
            <w:r>
              <w:rPr>
                <w:rFonts w:hint="eastAsia" w:ascii="宋体" w:hAnsi="宋体" w:eastAsia="宋体" w:cs="宋体"/>
                <w:color w:val="auto"/>
                <w:sz w:val="22"/>
                <w:szCs w:val="22"/>
                <w:highlight w:val="none"/>
                <w:lang w:eastAsia="zh-CN"/>
              </w:rPr>
              <w:t>相关证明材料</w:t>
            </w:r>
            <w:r>
              <w:rPr>
                <w:rFonts w:hint="eastAsia" w:ascii="宋体" w:hAnsi="宋体" w:eastAsia="宋体" w:cs="宋体"/>
                <w:color w:val="auto"/>
                <w:sz w:val="22"/>
                <w:szCs w:val="22"/>
                <w:highlight w:val="none"/>
              </w:rPr>
              <w:t>复印件并加盖</w:t>
            </w:r>
            <w:r>
              <w:rPr>
                <w:rFonts w:hint="eastAsia" w:ascii="宋体" w:hAnsi="宋体" w:cs="宋体"/>
                <w:color w:val="auto"/>
                <w:sz w:val="22"/>
                <w:szCs w:val="22"/>
                <w:highlight w:val="none"/>
                <w:lang w:val="en-US" w:eastAsia="zh-CN"/>
              </w:rPr>
              <w:t>单位</w:t>
            </w:r>
            <w:r>
              <w:rPr>
                <w:rFonts w:hint="eastAsia" w:ascii="宋体" w:hAnsi="宋体" w:eastAsia="宋体" w:cs="宋体"/>
                <w:color w:val="auto"/>
                <w:sz w:val="22"/>
                <w:szCs w:val="22"/>
                <w:highlight w:val="none"/>
              </w:rPr>
              <w:t>公章</w:t>
            </w:r>
            <w:r>
              <w:rPr>
                <w:rFonts w:hint="eastAsia" w:ascii="宋体" w:hAnsi="宋体" w:cs="宋体"/>
                <w:color w:val="auto"/>
                <w:sz w:val="22"/>
                <w:szCs w:val="22"/>
                <w:highlight w:val="none"/>
                <w:lang w:eastAsia="zh-CN"/>
              </w:rPr>
              <w:t>。</w:t>
            </w:r>
          </w:p>
        </w:tc>
      </w:tr>
    </w:tbl>
    <w:p>
      <w:pPr>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注：</w:t>
      </w:r>
    </w:p>
    <w:p>
      <w:pPr>
        <w:spacing w:line="360" w:lineRule="auto"/>
        <w:ind w:firstLine="480" w:firstLineChars="200"/>
        <w:rPr>
          <w:rFonts w:ascii="宋体" w:hAnsi="宋体" w:cs="宋体"/>
          <w:color w:val="auto"/>
          <w:sz w:val="24"/>
          <w:szCs w:val="21"/>
          <w:highlight w:val="none"/>
        </w:rPr>
      </w:pPr>
      <w:r>
        <w:rPr>
          <w:rFonts w:hint="eastAsia" w:ascii="宋体" w:hAnsi="宋体" w:cs="宋体"/>
          <w:color w:val="auto"/>
          <w:sz w:val="24"/>
          <w:szCs w:val="21"/>
          <w:highlight w:val="none"/>
        </w:rPr>
        <w:t>1、评标委员会各成员应当独立对每个供应商的响应文件进行评价，并汇总每个供应商的得分。资信分为客观分，也需独立进行评价并核对分值，最终分值需一致。</w:t>
      </w:r>
    </w:p>
    <w:p>
      <w:pPr>
        <w:spacing w:line="360" w:lineRule="auto"/>
        <w:ind w:firstLine="480" w:firstLineChars="200"/>
        <w:rPr>
          <w:color w:val="auto"/>
          <w:highlight w:val="none"/>
        </w:rPr>
      </w:pPr>
      <w:r>
        <w:rPr>
          <w:rFonts w:hint="eastAsia" w:ascii="宋体" w:hAnsi="宋体" w:cs="宋体"/>
          <w:color w:val="auto"/>
          <w:sz w:val="24"/>
          <w:szCs w:val="21"/>
          <w:highlight w:val="none"/>
        </w:rPr>
        <w:t>2、所有文件、合同、证书、资质等需要真实有效。若发现资料作假的取消中标资格。</w:t>
      </w:r>
    </w:p>
    <w:p>
      <w:pPr>
        <w:rPr>
          <w:rFonts w:ascii="宋体" w:hAnsi="宋体" w:cs="宋体"/>
          <w:b/>
          <w:color w:val="auto"/>
          <w:sz w:val="36"/>
          <w:szCs w:val="36"/>
          <w:highlight w:val="none"/>
        </w:rPr>
      </w:pPr>
      <w:bookmarkStart w:id="76" w:name="_Toc8033"/>
      <w:r>
        <w:rPr>
          <w:rFonts w:hint="eastAsia" w:ascii="宋体" w:hAnsi="宋体" w:cs="宋体"/>
          <w:b/>
          <w:color w:val="auto"/>
          <w:sz w:val="36"/>
          <w:szCs w:val="36"/>
          <w:highlight w:val="none"/>
        </w:rPr>
        <w:br w:type="page"/>
      </w:r>
    </w:p>
    <w:p>
      <w:pPr>
        <w:pStyle w:val="4"/>
        <w:jc w:val="center"/>
        <w:rPr>
          <w:rFonts w:ascii="宋体" w:hAnsi="宋体" w:cs="宋体"/>
          <w:color w:val="auto"/>
          <w:szCs w:val="36"/>
          <w:highlight w:val="none"/>
        </w:rPr>
      </w:pPr>
      <w:bookmarkStart w:id="77" w:name="_Toc15498"/>
      <w:r>
        <w:rPr>
          <w:rFonts w:hint="eastAsia"/>
          <w:color w:val="auto"/>
          <w:sz w:val="36"/>
          <w:szCs w:val="21"/>
          <w:highlight w:val="none"/>
        </w:rPr>
        <w:t>第五部分 采购合同</w:t>
      </w:r>
      <w:bookmarkEnd w:id="76"/>
      <w:bookmarkEnd w:id="77"/>
    </w:p>
    <w:p>
      <w:pPr>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　合同编号：（2020）第</w:t>
      </w:r>
      <w:r>
        <w:rPr>
          <w:rFonts w:hint="eastAsia" w:ascii="宋体" w:hAnsi="宋体" w:cs="宋体"/>
          <w:color w:val="auto"/>
          <w:kern w:val="0"/>
          <w:sz w:val="24"/>
          <w:highlight w:val="none"/>
          <w:u w:val="single"/>
        </w:rPr>
        <w:t>　　</w:t>
      </w:r>
      <w:r>
        <w:rPr>
          <w:rFonts w:hint="eastAsia" w:ascii="宋体" w:hAnsi="宋体" w:cs="宋体"/>
          <w:color w:val="auto"/>
          <w:kern w:val="0"/>
          <w:sz w:val="24"/>
          <w:highlight w:val="none"/>
        </w:rPr>
        <w:t>号</w:t>
      </w:r>
    </w:p>
    <w:p>
      <w:pPr>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　签订日期：202</w:t>
      </w: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rPr>
        <w:t>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rPr>
        <w:t>　　</w:t>
      </w:r>
      <w:r>
        <w:rPr>
          <w:rFonts w:hint="eastAsia" w:ascii="宋体" w:hAnsi="宋体" w:cs="宋体"/>
          <w:color w:val="auto"/>
          <w:kern w:val="0"/>
          <w:sz w:val="24"/>
          <w:highlight w:val="none"/>
        </w:rPr>
        <w:t>日</w:t>
      </w:r>
    </w:p>
    <w:p>
      <w:pPr>
        <w:spacing w:line="360" w:lineRule="auto"/>
        <w:ind w:firstLine="480" w:firstLineChars="200"/>
        <w:rPr>
          <w:rFonts w:ascii="宋体" w:hAnsi="宋体" w:cs="宋体"/>
          <w:color w:val="auto"/>
          <w:sz w:val="28"/>
          <w:highlight w:val="none"/>
          <w:u w:val="single"/>
        </w:rPr>
      </w:pPr>
      <w:r>
        <w:rPr>
          <w:rFonts w:hint="eastAsia" w:ascii="宋体" w:hAnsi="宋体" w:cs="宋体"/>
          <w:color w:val="auto"/>
          <w:kern w:val="0"/>
          <w:sz w:val="24"/>
          <w:highlight w:val="none"/>
        </w:rPr>
        <w:t>　甲方</w:t>
      </w:r>
      <w:r>
        <w:rPr>
          <w:rFonts w:hint="eastAsia" w:ascii="宋体" w:hAnsi="宋体" w:cs="宋体"/>
          <w:color w:val="auto"/>
          <w:sz w:val="28"/>
          <w:highlight w:val="none"/>
        </w:rPr>
        <w:t>：</w:t>
      </w:r>
      <w:r>
        <w:rPr>
          <w:rFonts w:hint="eastAsia" w:ascii="宋体" w:hAnsi="宋体" w:cs="宋体"/>
          <w:color w:val="auto"/>
          <w:sz w:val="28"/>
          <w:highlight w:val="none"/>
          <w:u w:val="single"/>
        </w:rPr>
        <w:t>　　　　　　　　　　　　　　　　　　　　　　　　　</w:t>
      </w:r>
    </w:p>
    <w:p>
      <w:pPr>
        <w:spacing w:line="360" w:lineRule="auto"/>
        <w:ind w:firstLine="720" w:firstLineChars="300"/>
        <w:jc w:val="left"/>
        <w:rPr>
          <w:rFonts w:ascii="宋体" w:hAnsi="宋体" w:cs="宋体"/>
          <w:color w:val="auto"/>
          <w:sz w:val="28"/>
          <w:highlight w:val="none"/>
          <w:u w:val="single"/>
        </w:rPr>
      </w:pPr>
      <w:r>
        <w:rPr>
          <w:rFonts w:hint="eastAsia" w:ascii="宋体" w:hAnsi="宋体" w:cs="宋体"/>
          <w:color w:val="auto"/>
          <w:kern w:val="0"/>
          <w:sz w:val="24"/>
          <w:highlight w:val="none"/>
        </w:rPr>
        <w:t>乙方</w:t>
      </w:r>
      <w:r>
        <w:rPr>
          <w:rFonts w:hint="eastAsia" w:ascii="宋体" w:hAnsi="宋体" w:cs="宋体"/>
          <w:color w:val="auto"/>
          <w:sz w:val="28"/>
          <w:highlight w:val="none"/>
        </w:rPr>
        <w:t>：</w:t>
      </w:r>
      <w:r>
        <w:rPr>
          <w:rFonts w:hint="eastAsia" w:ascii="宋体" w:hAnsi="宋体" w:cs="宋体"/>
          <w:color w:val="auto"/>
          <w:sz w:val="28"/>
          <w:highlight w:val="none"/>
          <w:u w:val="single"/>
        </w:rPr>
        <w:t>　　　　　　　　　　　　　　　　　　　　　　　　　</w:t>
      </w:r>
    </w:p>
    <w:p>
      <w:pPr>
        <w:spacing w:line="360" w:lineRule="auto"/>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根据《中华人民共和国合同法》、政府采购编号为</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磋商文件、中标人响应文件的规定，经竞争性磋商采购，签订本合同。</w:t>
      </w:r>
    </w:p>
    <w:p>
      <w:pPr>
        <w:pStyle w:val="28"/>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一、承包范围和要求:</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1、工期和要求:</w:t>
      </w:r>
      <w:r>
        <w:rPr>
          <w:rFonts w:hint="eastAsia" w:cs="宋体"/>
          <w:color w:val="auto"/>
          <w:kern w:val="0"/>
          <w:sz w:val="24"/>
          <w:szCs w:val="24"/>
          <w:highlight w:val="none"/>
          <w:lang w:val="en-US" w:eastAsia="zh-CN" w:bidi="ar-SA"/>
        </w:rPr>
        <w:t>乡镇</w:t>
      </w:r>
      <w:r>
        <w:rPr>
          <w:rFonts w:hint="eastAsia" w:ascii="宋体" w:hAnsi="宋体" w:eastAsia="宋体" w:cs="宋体"/>
          <w:color w:val="auto"/>
          <w:kern w:val="0"/>
          <w:sz w:val="24"/>
          <w:szCs w:val="24"/>
          <w:highlight w:val="none"/>
          <w:lang w:val="en-US" w:eastAsia="zh-CN" w:bidi="ar-SA"/>
        </w:rPr>
        <w:t>避灾安置点</w:t>
      </w:r>
      <w:r>
        <w:rPr>
          <w:rFonts w:hint="eastAsia" w:cs="宋体"/>
          <w:color w:val="auto"/>
          <w:kern w:val="0"/>
          <w:sz w:val="24"/>
          <w:szCs w:val="24"/>
          <w:highlight w:val="none"/>
          <w:lang w:val="en-US" w:eastAsia="zh-CN" w:bidi="ar-SA"/>
        </w:rPr>
        <w:t>房屋结构鉴定检测</w:t>
      </w:r>
      <w:r>
        <w:rPr>
          <w:rFonts w:hint="eastAsia" w:ascii="宋体" w:hAnsi="宋体" w:eastAsia="宋体" w:cs="宋体"/>
          <w:color w:val="auto"/>
          <w:kern w:val="0"/>
          <w:sz w:val="24"/>
          <w:szCs w:val="24"/>
          <w:highlight w:val="none"/>
          <w:lang w:val="en-US" w:eastAsia="zh-CN" w:bidi="ar-SA"/>
        </w:rPr>
        <w:t>签订合同后</w:t>
      </w:r>
      <w:r>
        <w:rPr>
          <w:rFonts w:hint="eastAsia" w:cs="宋体"/>
          <w:color w:val="auto"/>
          <w:kern w:val="0"/>
          <w:sz w:val="24"/>
          <w:szCs w:val="24"/>
          <w:highlight w:val="none"/>
          <w:u w:val="single"/>
          <w:lang w:val="en-US" w:eastAsia="zh-CN" w:bidi="ar-SA"/>
        </w:rPr>
        <w:t xml:space="preserve"> 50 </w:t>
      </w:r>
      <w:r>
        <w:rPr>
          <w:rFonts w:hint="eastAsia" w:ascii="宋体" w:hAnsi="宋体" w:eastAsia="宋体" w:cs="宋体"/>
          <w:color w:val="auto"/>
          <w:kern w:val="0"/>
          <w:sz w:val="24"/>
          <w:szCs w:val="24"/>
          <w:highlight w:val="none"/>
          <w:lang w:val="en-US" w:eastAsia="zh-CN" w:bidi="ar-SA"/>
        </w:rPr>
        <w:t>天工期内完工。</w:t>
      </w:r>
    </w:p>
    <w:p>
      <w:pPr>
        <w:pStyle w:val="28"/>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二、承包价格及支付:</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w:t>
      </w:r>
      <w:r>
        <w:rPr>
          <w:rFonts w:hint="eastAsia" w:cs="宋体"/>
          <w:color w:val="auto"/>
          <w:kern w:val="0"/>
          <w:sz w:val="24"/>
          <w:szCs w:val="24"/>
          <w:highlight w:val="none"/>
          <w:lang w:val="en-US" w:eastAsia="zh-CN" w:bidi="ar-SA"/>
        </w:rPr>
        <w:t>中标价：</w:t>
      </w:r>
      <w:r>
        <w:rPr>
          <w:rFonts w:hint="eastAsia" w:cs="宋体"/>
          <w:color w:val="auto"/>
          <w:kern w:val="0"/>
          <w:sz w:val="24"/>
          <w:szCs w:val="24"/>
          <w:highlight w:val="none"/>
          <w:u w:val="single"/>
          <w:lang w:val="en-US" w:eastAsia="zh-CN" w:bidi="ar-SA"/>
        </w:rPr>
        <w:t xml:space="preserve">                                （大写）（小写：     元）  </w:t>
      </w:r>
      <w:r>
        <w:rPr>
          <w:rFonts w:hint="eastAsia" w:cs="宋体"/>
          <w:color w:val="auto"/>
          <w:kern w:val="0"/>
          <w:sz w:val="24"/>
          <w:szCs w:val="24"/>
          <w:highlight w:val="none"/>
          <w:lang w:val="en-US" w:eastAsia="zh-CN" w:bidi="ar-SA"/>
        </w:rPr>
        <w:t xml:space="preserve"> </w:t>
      </w:r>
      <w:r>
        <w:rPr>
          <w:rFonts w:hint="eastAsia" w:ascii="宋体" w:hAnsi="宋体" w:eastAsia="宋体" w:cs="宋体"/>
          <w:color w:val="auto"/>
          <w:kern w:val="0"/>
          <w:sz w:val="24"/>
          <w:szCs w:val="24"/>
          <w:highlight w:val="none"/>
          <w:lang w:val="en-US" w:eastAsia="zh-CN" w:bidi="ar-SA"/>
        </w:rPr>
        <w:t>。</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该单价已包括正常作业所需的一切利润、税金以及完成合同条件所需的一切开支。</w:t>
      </w:r>
    </w:p>
    <w:p>
      <w:pPr>
        <w:autoSpaceDE w:val="0"/>
        <w:autoSpaceDN w:val="0"/>
        <w:adjustRightInd w:val="0"/>
        <w:spacing w:line="360" w:lineRule="auto"/>
        <w:ind w:left="479" w:leftChars="228"/>
        <w:jc w:val="left"/>
        <w:rPr>
          <w:rFonts w:ascii="宋体" w:hAnsi="宋体"/>
          <w:color w:val="auto"/>
          <w:sz w:val="24"/>
          <w:highlight w:val="none"/>
        </w:rPr>
      </w:pPr>
      <w:r>
        <w:rPr>
          <w:rFonts w:hint="eastAsia" w:ascii="宋体" w:hAnsi="宋体"/>
          <w:color w:val="auto"/>
          <w:sz w:val="24"/>
          <w:highlight w:val="none"/>
          <w:lang w:val="en-US" w:eastAsia="zh-CN"/>
        </w:rPr>
        <w:t>(1).</w:t>
      </w:r>
      <w:r>
        <w:rPr>
          <w:rFonts w:hint="eastAsia" w:ascii="宋体" w:hAnsi="宋体"/>
          <w:color w:val="auto"/>
          <w:sz w:val="24"/>
          <w:highlight w:val="none"/>
        </w:rPr>
        <w:t>签订合同之后15个工作日内采购方向供应商支付合同金额的</w:t>
      </w:r>
      <w:r>
        <w:rPr>
          <w:rFonts w:hint="eastAsia" w:ascii="宋体" w:hAnsi="宋体"/>
          <w:color w:val="auto"/>
          <w:sz w:val="24"/>
          <w:highlight w:val="none"/>
          <w:lang w:val="en-US" w:eastAsia="zh-CN"/>
        </w:rPr>
        <w:t>4</w:t>
      </w:r>
      <w:r>
        <w:rPr>
          <w:rFonts w:hint="eastAsia" w:ascii="宋体" w:hAnsi="宋体"/>
          <w:color w:val="auto"/>
          <w:sz w:val="24"/>
          <w:highlight w:val="none"/>
        </w:rPr>
        <w:t>0%；</w:t>
      </w:r>
    </w:p>
    <w:p>
      <w:pPr>
        <w:spacing w:line="440" w:lineRule="exact"/>
        <w:ind w:firstLine="480" w:firstLineChars="200"/>
        <w:rPr>
          <w:rFonts w:hint="eastAsia" w:ascii="宋体" w:hAnsi="宋体" w:eastAsia="宋体" w:cs="宋体"/>
          <w:color w:val="auto"/>
          <w:kern w:val="0"/>
          <w:sz w:val="24"/>
          <w:szCs w:val="24"/>
          <w:highlight w:val="none"/>
          <w:lang w:val="en-US" w:eastAsia="zh-CN" w:bidi="ar-SA"/>
        </w:rPr>
      </w:pPr>
      <w:r>
        <w:rPr>
          <w:rFonts w:hint="eastAsia" w:ascii="宋体" w:hAnsi="宋体"/>
          <w:color w:val="auto"/>
          <w:sz w:val="24"/>
          <w:highlight w:val="none"/>
          <w:lang w:val="en-US" w:eastAsia="zh-CN"/>
        </w:rPr>
        <w:t>(2).</w:t>
      </w:r>
      <w:r>
        <w:rPr>
          <w:rFonts w:hint="eastAsia" w:ascii="宋体" w:hAnsi="宋体" w:cs="Times New Roman"/>
          <w:color w:val="auto"/>
          <w:sz w:val="24"/>
          <w:highlight w:val="none"/>
        </w:rPr>
        <w:t>出具报告并通过验收后15个</w:t>
      </w:r>
      <w:r>
        <w:rPr>
          <w:rFonts w:hint="eastAsia" w:ascii="宋体" w:hAnsi="宋体"/>
          <w:color w:val="auto"/>
          <w:sz w:val="24"/>
          <w:highlight w:val="none"/>
        </w:rPr>
        <w:t>工作日内付清余款。</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w:t>
      </w:r>
      <w:r>
        <w:rPr>
          <w:rFonts w:hint="eastAsia" w:cs="宋体"/>
          <w:color w:val="auto"/>
          <w:kern w:val="0"/>
          <w:sz w:val="24"/>
          <w:szCs w:val="24"/>
          <w:highlight w:val="none"/>
          <w:lang w:val="en-US" w:eastAsia="zh-CN" w:bidi="ar-SA"/>
        </w:rPr>
        <w:t>房屋鉴定检测</w:t>
      </w:r>
      <w:r>
        <w:rPr>
          <w:rFonts w:hint="eastAsia" w:ascii="宋体" w:hAnsi="宋体" w:eastAsia="宋体" w:cs="宋体"/>
          <w:color w:val="auto"/>
          <w:kern w:val="0"/>
          <w:sz w:val="24"/>
          <w:szCs w:val="24"/>
          <w:highlight w:val="none"/>
          <w:lang w:val="en-US" w:eastAsia="zh-CN" w:bidi="ar-SA"/>
        </w:rPr>
        <w:t>合同价格除按本合同的规定外,不能作任何调整,任何计算错误皆视为已获双方接受:合同价亦不会因人工、物价或汇率等的变动而作任何调整。</w:t>
      </w:r>
    </w:p>
    <w:p>
      <w:pPr>
        <w:pStyle w:val="14"/>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3、供应商在收到成交通知书后，需向采购人提供合同总价5%的履约保证金，在供应商与采购人签订合同前递交。履约保证金在合同履行完毕后20个工作日内予以无息退还。</w:t>
      </w:r>
    </w:p>
    <w:p>
      <w:pPr>
        <w:spacing w:line="420" w:lineRule="exact"/>
        <w:ind w:firstLine="482" w:firstLineChars="200"/>
        <w:rPr>
          <w:rFonts w:hint="eastAsia" w:ascii="宋体" w:hAnsi="宋体"/>
          <w:b/>
          <w:bCs/>
          <w:color w:val="auto"/>
          <w:sz w:val="24"/>
          <w:highlight w:val="none"/>
        </w:rPr>
      </w:pPr>
      <w:r>
        <w:rPr>
          <w:rFonts w:hint="eastAsia" w:ascii="宋体" w:hAnsi="宋体"/>
          <w:b/>
          <w:bCs/>
          <w:color w:val="auto"/>
          <w:sz w:val="24"/>
          <w:highlight w:val="none"/>
          <w:lang w:val="en-US" w:eastAsia="zh-CN"/>
        </w:rPr>
        <w:t>三、</w:t>
      </w:r>
      <w:r>
        <w:rPr>
          <w:rFonts w:hint="eastAsia" w:ascii="宋体" w:hAnsi="宋体"/>
          <w:b/>
          <w:bCs/>
          <w:color w:val="auto"/>
          <w:sz w:val="24"/>
          <w:highlight w:val="none"/>
        </w:rPr>
        <w:t>项目要求</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1、</w:t>
      </w:r>
      <w:r>
        <w:rPr>
          <w:rFonts w:hint="eastAsia" w:ascii="宋体" w:hAnsi="宋体"/>
          <w:color w:val="auto"/>
          <w:sz w:val="24"/>
          <w:highlight w:val="none"/>
        </w:rPr>
        <w:t>住房安全检测专业机构检测后需出具</w:t>
      </w:r>
      <w:r>
        <w:rPr>
          <w:rFonts w:hint="eastAsia" w:ascii="宋体" w:hAnsi="宋体"/>
          <w:color w:val="auto"/>
          <w:sz w:val="24"/>
          <w:highlight w:val="none"/>
          <w:lang w:val="en-US" w:eastAsia="zh-CN"/>
        </w:rPr>
        <w:t>鉴定</w:t>
      </w:r>
      <w:r>
        <w:rPr>
          <w:rFonts w:hint="eastAsia" w:ascii="宋体" w:hAnsi="宋体"/>
          <w:color w:val="auto"/>
          <w:sz w:val="24"/>
          <w:highlight w:val="none"/>
        </w:rPr>
        <w:t>检测报告，并由持有注册结构师证书的技术人员在检测报告上签字确认。</w:t>
      </w:r>
    </w:p>
    <w:p>
      <w:pPr>
        <w:pStyle w:val="28"/>
        <w:rPr>
          <w:rFonts w:hint="eastAsia"/>
          <w:color w:val="auto"/>
          <w:highlight w:val="none"/>
        </w:rPr>
      </w:pPr>
      <w:r>
        <w:rPr>
          <w:rFonts w:hint="eastAsia"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、乙方应对招标文件中的上虞区</w:t>
      </w:r>
      <w:r>
        <w:rPr>
          <w:rFonts w:hint="eastAsia" w:cs="宋体"/>
          <w:color w:val="auto"/>
          <w:kern w:val="0"/>
          <w:sz w:val="24"/>
          <w:szCs w:val="24"/>
          <w:highlight w:val="none"/>
          <w:lang w:val="en-US" w:eastAsia="zh-CN" w:bidi="ar-SA"/>
        </w:rPr>
        <w:t>所有</w:t>
      </w:r>
      <w:r>
        <w:rPr>
          <w:rFonts w:hint="eastAsia" w:ascii="宋体" w:hAnsi="宋体" w:eastAsia="宋体" w:cs="宋体"/>
          <w:color w:val="auto"/>
          <w:kern w:val="0"/>
          <w:sz w:val="24"/>
          <w:szCs w:val="24"/>
          <w:highlight w:val="none"/>
          <w:lang w:val="en-US" w:eastAsia="zh-CN" w:bidi="ar-SA"/>
        </w:rPr>
        <w:t>避灾安置场所房屋安全鉴定有检测结论，并对其鉴定结果承担相应责任。</w:t>
      </w:r>
    </w:p>
    <w:p>
      <w:pPr>
        <w:spacing w:line="400" w:lineRule="exact"/>
        <w:ind w:left="420" w:leftChars="200"/>
        <w:rPr>
          <w:rFonts w:hint="eastAsia" w:ascii="宋体" w:hAnsi="宋体"/>
          <w:b/>
          <w:bCs/>
          <w:color w:val="auto"/>
          <w:sz w:val="24"/>
          <w:highlight w:val="none"/>
        </w:rPr>
      </w:pPr>
      <w:r>
        <w:rPr>
          <w:rFonts w:hint="eastAsia" w:ascii="宋体" w:hAnsi="宋体"/>
          <w:b/>
          <w:bCs/>
          <w:color w:val="auto"/>
          <w:sz w:val="24"/>
          <w:highlight w:val="none"/>
          <w:lang w:val="en-US" w:eastAsia="zh-CN"/>
        </w:rPr>
        <w:t>四、</w:t>
      </w:r>
      <w:r>
        <w:rPr>
          <w:rFonts w:hint="eastAsia" w:ascii="宋体" w:hAnsi="宋体"/>
          <w:b/>
          <w:bCs/>
          <w:color w:val="auto"/>
          <w:sz w:val="24"/>
          <w:highlight w:val="none"/>
        </w:rPr>
        <w:t>项目内容</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乙方</w:t>
      </w:r>
      <w:r>
        <w:rPr>
          <w:rFonts w:hint="eastAsia" w:ascii="宋体" w:hAnsi="宋体"/>
          <w:color w:val="auto"/>
          <w:sz w:val="24"/>
          <w:highlight w:val="none"/>
        </w:rPr>
        <w:t>负责现场</w:t>
      </w:r>
      <w:r>
        <w:rPr>
          <w:rFonts w:hint="eastAsia" w:ascii="宋体" w:hAnsi="宋体"/>
          <w:color w:val="auto"/>
          <w:sz w:val="24"/>
          <w:highlight w:val="none"/>
          <w:lang w:val="en-US" w:eastAsia="zh-CN"/>
        </w:rPr>
        <w:t>鉴定</w:t>
      </w:r>
      <w:r>
        <w:rPr>
          <w:rFonts w:hint="eastAsia" w:ascii="宋体" w:hAnsi="宋体"/>
          <w:color w:val="auto"/>
          <w:sz w:val="24"/>
          <w:highlight w:val="none"/>
        </w:rPr>
        <w:t>检测及数据处理，保证数据的真实、可靠，并根据国家法律法规等相关规范及标准，结合报告流程，按照技术报告内容出具检测（鉴定）报告，得到</w:t>
      </w:r>
      <w:r>
        <w:rPr>
          <w:rFonts w:hint="eastAsia" w:ascii="宋体" w:hAnsi="宋体"/>
          <w:color w:val="auto"/>
          <w:sz w:val="24"/>
          <w:highlight w:val="none"/>
          <w:lang w:val="en-US" w:eastAsia="zh-CN"/>
        </w:rPr>
        <w:t>甲方</w:t>
      </w:r>
      <w:r>
        <w:rPr>
          <w:rFonts w:hint="eastAsia" w:ascii="宋体" w:hAnsi="宋体"/>
          <w:color w:val="auto"/>
          <w:sz w:val="24"/>
          <w:highlight w:val="none"/>
        </w:rPr>
        <w:t>审核认可后为合格。若</w:t>
      </w:r>
      <w:r>
        <w:rPr>
          <w:rFonts w:hint="eastAsia" w:ascii="宋体" w:hAnsi="宋体"/>
          <w:color w:val="auto"/>
          <w:sz w:val="24"/>
          <w:highlight w:val="none"/>
          <w:lang w:val="en-US" w:eastAsia="zh-CN"/>
        </w:rPr>
        <w:t>甲方</w:t>
      </w:r>
      <w:r>
        <w:rPr>
          <w:rFonts w:hint="eastAsia" w:ascii="宋体" w:hAnsi="宋体"/>
          <w:color w:val="auto"/>
          <w:sz w:val="24"/>
          <w:highlight w:val="none"/>
        </w:rPr>
        <w:t>认为观测成果不符合国家法律法规及相关技术规范要求的，应无条件及时修改。</w:t>
      </w:r>
    </w:p>
    <w:p>
      <w:pPr>
        <w:pStyle w:val="14"/>
        <w:adjustRightInd w:val="0"/>
        <w:snapToGrid w:val="0"/>
        <w:ind w:firstLine="482" w:firstLineChars="200"/>
        <w:rPr>
          <w:rFonts w:hint="eastAsia" w:ascii="宋体" w:hAnsi="宋体" w:eastAsia="宋体" w:cs="宋体"/>
          <w:b/>
          <w:bCs/>
          <w:color w:val="auto"/>
          <w:kern w:val="0"/>
          <w:sz w:val="24"/>
          <w:szCs w:val="24"/>
          <w:highlight w:val="none"/>
          <w:lang w:val="en-US" w:eastAsia="zh-CN" w:bidi="ar-SA"/>
        </w:rPr>
      </w:pPr>
      <w:r>
        <w:rPr>
          <w:rFonts w:hint="eastAsia" w:hAnsi="宋体" w:cs="宋体"/>
          <w:b/>
          <w:bCs/>
          <w:color w:val="auto"/>
          <w:kern w:val="0"/>
          <w:sz w:val="24"/>
          <w:szCs w:val="24"/>
          <w:highlight w:val="none"/>
          <w:lang w:val="en-US" w:eastAsia="zh-CN" w:bidi="ar-SA"/>
        </w:rPr>
        <w:t>五</w:t>
      </w:r>
      <w:r>
        <w:rPr>
          <w:rFonts w:hint="eastAsia" w:ascii="宋体" w:hAnsi="宋体" w:eastAsia="宋体" w:cs="宋体"/>
          <w:b/>
          <w:bCs/>
          <w:color w:val="auto"/>
          <w:kern w:val="0"/>
          <w:sz w:val="24"/>
          <w:szCs w:val="24"/>
          <w:highlight w:val="none"/>
          <w:lang w:val="en-US" w:eastAsia="zh-CN" w:bidi="ar-SA"/>
        </w:rPr>
        <w:t>、不可抗力</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1、在承包期间发生地震等不可抗力原因，导致合同不能或不能全部履行。双方可以按以下各项执行:</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1.1、任何</w:t>
      </w:r>
      <w:r>
        <w:rPr>
          <w:rFonts w:hint="eastAsia" w:cs="宋体"/>
          <w:color w:val="auto"/>
          <w:kern w:val="0"/>
          <w:sz w:val="24"/>
          <w:szCs w:val="24"/>
          <w:highlight w:val="none"/>
          <w:lang w:val="en-US" w:eastAsia="zh-CN" w:bidi="ar-SA"/>
        </w:rPr>
        <w:t>一</w:t>
      </w:r>
      <w:r>
        <w:rPr>
          <w:rFonts w:hint="eastAsia" w:ascii="宋体" w:hAnsi="宋体" w:eastAsia="宋体" w:cs="宋体"/>
          <w:color w:val="auto"/>
          <w:kern w:val="0"/>
          <w:sz w:val="24"/>
          <w:szCs w:val="24"/>
          <w:highlight w:val="none"/>
          <w:lang w:val="en-US" w:eastAsia="zh-CN" w:bidi="ar-SA"/>
        </w:rPr>
        <w:t>方可以书面形式终止合同无需做出任何赔偿。</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 2、因不可抗力导致合同终止,并不影响任何一方对不 可抗力先前发生的违约行为合法追偿。</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1.3、 甲方不负责因不可抗力造成合同不能正常履行的责任。</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1.4、因不可抗力造成甲方的损害，甲方的保险赔偿不受影响。</w:t>
      </w:r>
    </w:p>
    <w:p>
      <w:pPr>
        <w:pStyle w:val="28"/>
        <w:rPr>
          <w:rFonts w:hint="eastAsia" w:ascii="宋体" w:hAnsi="宋体" w:eastAsia="宋体" w:cs="宋体"/>
          <w:b/>
          <w:bCs/>
          <w:color w:val="auto"/>
          <w:kern w:val="0"/>
          <w:sz w:val="24"/>
          <w:szCs w:val="24"/>
          <w:highlight w:val="none"/>
          <w:lang w:val="en-US" w:eastAsia="zh-CN" w:bidi="ar-SA"/>
        </w:rPr>
      </w:pPr>
      <w:r>
        <w:rPr>
          <w:rFonts w:hint="eastAsia" w:cs="宋体"/>
          <w:b/>
          <w:bCs/>
          <w:color w:val="auto"/>
          <w:kern w:val="0"/>
          <w:sz w:val="24"/>
          <w:szCs w:val="24"/>
          <w:highlight w:val="none"/>
          <w:lang w:val="en-US" w:eastAsia="zh-CN" w:bidi="ar-SA"/>
        </w:rPr>
        <w:t>六</w:t>
      </w:r>
      <w:r>
        <w:rPr>
          <w:rFonts w:hint="eastAsia" w:ascii="宋体" w:hAnsi="宋体" w:eastAsia="宋体" w:cs="宋体"/>
          <w:b/>
          <w:bCs/>
          <w:color w:val="auto"/>
          <w:kern w:val="0"/>
          <w:sz w:val="24"/>
          <w:szCs w:val="24"/>
          <w:highlight w:val="none"/>
          <w:lang w:val="en-US" w:eastAsia="zh-CN" w:bidi="ar-SA"/>
        </w:rPr>
        <w:t>、其他</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1、乙方所有人员的事故由乙方自行全权负责，甲方不承担任何责任。在乙方的责任区内由于乙方原因导致第三方的事故由乙方负责，甲方不承担任何责任。</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2、本合同中所述通知，必须为书面形式，并有送达签收。</w:t>
      </w:r>
    </w:p>
    <w:p>
      <w:pPr>
        <w:pStyle w:val="28"/>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3、关于本合同争议，应双方友好协调解决，协商不一致，任何</w:t>
      </w:r>
      <w:r>
        <w:rPr>
          <w:rFonts w:hint="eastAsia" w:cs="宋体"/>
          <w:color w:val="auto"/>
          <w:kern w:val="0"/>
          <w:sz w:val="24"/>
          <w:szCs w:val="24"/>
          <w:highlight w:val="none"/>
          <w:lang w:val="en-US" w:eastAsia="zh-CN" w:bidi="ar-SA"/>
        </w:rPr>
        <w:t>一</w:t>
      </w:r>
      <w:r>
        <w:rPr>
          <w:rFonts w:hint="eastAsia" w:ascii="宋体" w:hAnsi="宋体" w:eastAsia="宋体" w:cs="宋体"/>
          <w:color w:val="auto"/>
          <w:kern w:val="0"/>
          <w:sz w:val="24"/>
          <w:szCs w:val="24"/>
          <w:highlight w:val="none"/>
          <w:lang w:val="en-US" w:eastAsia="zh-CN" w:bidi="ar-SA"/>
        </w:rPr>
        <w:t>方均可提起仲裁或诉讼，仲裁或诉讼按合同履行地原则。</w:t>
      </w:r>
    </w:p>
    <w:p>
      <w:pPr>
        <w:pStyle w:val="28"/>
        <w:rPr>
          <w:rFonts w:hint="eastAsia" w:ascii="宋体" w:hAnsi="宋体" w:cs="宋体"/>
          <w:color w:val="auto"/>
          <w:kern w:val="0"/>
          <w:sz w:val="24"/>
          <w:highlight w:val="none"/>
        </w:rPr>
      </w:pPr>
      <w:r>
        <w:rPr>
          <w:rFonts w:hint="eastAsia" w:ascii="宋体" w:hAnsi="宋体" w:eastAsia="宋体" w:cs="宋体"/>
          <w:color w:val="auto"/>
          <w:kern w:val="0"/>
          <w:sz w:val="24"/>
          <w:szCs w:val="24"/>
          <w:highlight w:val="none"/>
          <w:lang w:val="en-US" w:eastAsia="zh-CN" w:bidi="ar-SA"/>
        </w:rPr>
        <w:t>4、未尽事宜由双方协商解决，并以书面修改或补充本合同条款;合同的附件、修改(补充)件均与本主合同同效。</w:t>
      </w:r>
    </w:p>
    <w:p>
      <w:pPr>
        <w:spacing w:line="360" w:lineRule="auto"/>
        <w:ind w:firstLine="482" w:firstLineChars="200"/>
        <w:jc w:val="left"/>
        <w:rPr>
          <w:rFonts w:hint="default" w:ascii="宋体" w:hAnsi="宋体" w:eastAsia="宋体" w:cs="宋体"/>
          <w:b/>
          <w:bCs/>
          <w:color w:val="auto"/>
          <w:kern w:val="0"/>
          <w:sz w:val="24"/>
          <w:highlight w:val="none"/>
          <w:lang w:val="en-US" w:eastAsia="zh-CN"/>
        </w:rPr>
      </w:pPr>
      <w:r>
        <w:rPr>
          <w:rFonts w:hint="eastAsia" w:ascii="宋体" w:hAnsi="宋体" w:cs="宋体"/>
          <w:b/>
          <w:bCs/>
          <w:color w:val="auto"/>
          <w:kern w:val="0"/>
          <w:sz w:val="24"/>
          <w:highlight w:val="none"/>
          <w:lang w:val="en-US" w:eastAsia="zh-CN"/>
        </w:rPr>
        <w:t>七</w:t>
      </w:r>
      <w:r>
        <w:rPr>
          <w:rFonts w:hint="eastAsia" w:ascii="宋体" w:hAnsi="宋体" w:cs="宋体"/>
          <w:b/>
          <w:bCs/>
          <w:color w:val="auto"/>
          <w:kern w:val="0"/>
          <w:sz w:val="24"/>
          <w:highlight w:val="none"/>
        </w:rPr>
        <w:t>、</w:t>
      </w:r>
      <w:r>
        <w:rPr>
          <w:rFonts w:hint="eastAsia" w:ascii="宋体" w:hAnsi="宋体" w:cs="宋体"/>
          <w:b/>
          <w:bCs/>
          <w:color w:val="auto"/>
          <w:kern w:val="0"/>
          <w:sz w:val="24"/>
          <w:highlight w:val="none"/>
          <w:lang w:val="en-US" w:eastAsia="zh-CN"/>
        </w:rPr>
        <w:t>合同签订</w:t>
      </w:r>
    </w:p>
    <w:p>
      <w:pPr>
        <w:spacing w:line="360" w:lineRule="auto"/>
        <w:ind w:firstLine="480" w:firstLineChars="200"/>
        <w:jc w:val="left"/>
        <w:rPr>
          <w:color w:val="auto"/>
          <w:highlight w:val="none"/>
        </w:rPr>
      </w:pPr>
      <w:r>
        <w:rPr>
          <w:rFonts w:hint="eastAsia" w:ascii="宋体" w:hAnsi="宋体" w:cs="宋体"/>
          <w:color w:val="auto"/>
          <w:kern w:val="0"/>
          <w:sz w:val="24"/>
          <w:highlight w:val="none"/>
        </w:rPr>
        <w:t>本合同依法签订，即具有法律效力。双方必须全面履行，不得单方擅自变更或解除。因故需要变更或解除合同，应双方协商，依法另立协议。</w:t>
      </w:r>
    </w:p>
    <w:p>
      <w:pPr>
        <w:spacing w:line="360" w:lineRule="auto"/>
        <w:ind w:firstLine="480" w:firstLineChars="200"/>
        <w:jc w:val="left"/>
        <w:rPr>
          <w:rFonts w:hint="eastAsia" w:ascii="宋体" w:hAnsi="宋体" w:cs="宋体"/>
          <w:b w:val="0"/>
          <w:bCs/>
          <w:color w:val="auto"/>
          <w:kern w:val="0"/>
          <w:sz w:val="24"/>
          <w:highlight w:val="none"/>
        </w:rPr>
      </w:pPr>
      <w:r>
        <w:rPr>
          <w:rFonts w:hint="eastAsia" w:ascii="宋体" w:hAnsi="宋体" w:cs="宋体"/>
          <w:b w:val="0"/>
          <w:bCs/>
          <w:color w:val="auto"/>
          <w:kern w:val="0"/>
          <w:sz w:val="24"/>
          <w:highlight w:val="none"/>
          <w:lang w:val="en-US" w:eastAsia="zh-CN"/>
        </w:rPr>
        <w:t>八</w:t>
      </w:r>
      <w:r>
        <w:rPr>
          <w:rFonts w:hint="eastAsia" w:ascii="宋体" w:hAnsi="宋体" w:cs="宋体"/>
          <w:b w:val="0"/>
          <w:bCs/>
          <w:color w:val="auto"/>
          <w:kern w:val="0"/>
          <w:sz w:val="24"/>
          <w:highlight w:val="none"/>
        </w:rPr>
        <w:t>、本合同一式</w:t>
      </w:r>
      <w:r>
        <w:rPr>
          <w:rFonts w:hint="eastAsia" w:ascii="宋体" w:hAnsi="宋体" w:cs="宋体"/>
          <w:b w:val="0"/>
          <w:bCs/>
          <w:color w:val="auto"/>
          <w:kern w:val="0"/>
          <w:sz w:val="24"/>
          <w:highlight w:val="none"/>
          <w:u w:val="single"/>
        </w:rPr>
        <w:t>　　</w:t>
      </w:r>
      <w:r>
        <w:rPr>
          <w:rFonts w:hint="eastAsia" w:ascii="宋体" w:hAnsi="宋体" w:cs="宋体"/>
          <w:b w:val="0"/>
          <w:bCs/>
          <w:color w:val="auto"/>
          <w:kern w:val="0"/>
          <w:sz w:val="24"/>
          <w:highlight w:val="none"/>
          <w:u w:val="single"/>
          <w:lang w:val="en-US" w:eastAsia="zh-CN"/>
        </w:rPr>
        <w:t>肆</w:t>
      </w:r>
      <w:r>
        <w:rPr>
          <w:rFonts w:hint="eastAsia" w:ascii="宋体" w:hAnsi="宋体" w:cs="宋体"/>
          <w:b w:val="0"/>
          <w:bCs/>
          <w:color w:val="auto"/>
          <w:kern w:val="0"/>
          <w:sz w:val="24"/>
          <w:highlight w:val="none"/>
          <w:u w:val="single"/>
        </w:rPr>
        <w:t xml:space="preserve">　 </w:t>
      </w:r>
      <w:r>
        <w:rPr>
          <w:rFonts w:hint="eastAsia" w:ascii="宋体" w:hAnsi="宋体" w:cs="宋体"/>
          <w:b w:val="0"/>
          <w:bCs/>
          <w:color w:val="auto"/>
          <w:kern w:val="0"/>
          <w:sz w:val="24"/>
          <w:highlight w:val="none"/>
        </w:rPr>
        <w:t>份，采购人和中标人各执</w:t>
      </w:r>
      <w:r>
        <w:rPr>
          <w:rFonts w:hint="eastAsia" w:ascii="宋体" w:hAnsi="宋体" w:cs="宋体"/>
          <w:b w:val="0"/>
          <w:bCs/>
          <w:color w:val="auto"/>
          <w:kern w:val="0"/>
          <w:sz w:val="24"/>
          <w:highlight w:val="none"/>
          <w:lang w:val="en-US" w:eastAsia="zh-CN"/>
        </w:rPr>
        <w:t>贰</w:t>
      </w:r>
      <w:r>
        <w:rPr>
          <w:rFonts w:hint="eastAsia" w:ascii="宋体" w:hAnsi="宋体" w:cs="宋体"/>
          <w:b w:val="0"/>
          <w:bCs/>
          <w:color w:val="auto"/>
          <w:kern w:val="0"/>
          <w:sz w:val="24"/>
          <w:highlight w:val="none"/>
        </w:rPr>
        <w:t>份，并由采购人在30日内做好政采云平台网上合同创建及备案。</w:t>
      </w:r>
    </w:p>
    <w:p>
      <w:pPr>
        <w:pStyle w:val="28"/>
        <w:rPr>
          <w:rFonts w:hint="eastAsia" w:ascii="宋体" w:hAnsi="宋体" w:cs="宋体"/>
          <w:b/>
          <w:color w:val="auto"/>
          <w:kern w:val="0"/>
          <w:sz w:val="24"/>
          <w:highlight w:val="none"/>
        </w:rPr>
      </w:pPr>
    </w:p>
    <w:p>
      <w:pPr>
        <w:pStyle w:val="28"/>
        <w:rPr>
          <w:rFonts w:hint="eastAsia" w:ascii="宋体" w:hAnsi="宋体" w:cs="宋体"/>
          <w:b/>
          <w:color w:val="auto"/>
          <w:kern w:val="0"/>
          <w:sz w:val="24"/>
          <w:highlight w:val="none"/>
        </w:rPr>
      </w:pPr>
    </w:p>
    <w:tbl>
      <w:tblPr>
        <w:tblStyle w:val="23"/>
        <w:tblW w:w="0" w:type="auto"/>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2340"/>
        <w:gridCol w:w="162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甲方单位</w:t>
            </w:r>
          </w:p>
        </w:tc>
        <w:tc>
          <w:tcPr>
            <w:tcW w:w="23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（盖章）</w:t>
            </w:r>
          </w:p>
        </w:tc>
        <w:tc>
          <w:tcPr>
            <w:tcW w:w="162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乙方单位</w:t>
            </w:r>
          </w:p>
        </w:tc>
        <w:tc>
          <w:tcPr>
            <w:tcW w:w="270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代表签名</w:t>
            </w:r>
          </w:p>
        </w:tc>
        <w:tc>
          <w:tcPr>
            <w:tcW w:w="2340" w:type="dxa"/>
            <w:vAlign w:val="center"/>
          </w:tcPr>
          <w:p>
            <w:pPr>
              <w:snapToGrid w:val="0"/>
              <w:spacing w:line="360" w:lineRule="auto"/>
              <w:jc w:val="center"/>
              <w:rPr>
                <w:rFonts w:ascii="宋体" w:hAnsi="宋体" w:cs="宋体"/>
                <w:snapToGrid w:val="0"/>
                <w:color w:val="auto"/>
                <w:kern w:val="0"/>
                <w:szCs w:val="21"/>
                <w:highlight w:val="none"/>
              </w:rPr>
            </w:pPr>
          </w:p>
        </w:tc>
        <w:tc>
          <w:tcPr>
            <w:tcW w:w="162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代表签名</w:t>
            </w:r>
          </w:p>
        </w:tc>
        <w:tc>
          <w:tcPr>
            <w:tcW w:w="2700" w:type="dxa"/>
            <w:vAlign w:val="center"/>
          </w:tcPr>
          <w:p>
            <w:pPr>
              <w:snapToGrid w:val="0"/>
              <w:spacing w:line="360" w:lineRule="auto"/>
              <w:jc w:val="center"/>
              <w:rPr>
                <w:rFonts w:ascii="宋体" w:hAnsi="宋体" w:cs="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地址</w:t>
            </w:r>
          </w:p>
        </w:tc>
        <w:tc>
          <w:tcPr>
            <w:tcW w:w="2340" w:type="dxa"/>
            <w:vAlign w:val="center"/>
          </w:tcPr>
          <w:p>
            <w:pPr>
              <w:snapToGrid w:val="0"/>
              <w:spacing w:line="360" w:lineRule="auto"/>
              <w:jc w:val="center"/>
              <w:rPr>
                <w:rFonts w:ascii="宋体" w:hAnsi="宋体" w:cs="宋体"/>
                <w:snapToGrid w:val="0"/>
                <w:color w:val="auto"/>
                <w:kern w:val="0"/>
                <w:szCs w:val="21"/>
                <w:highlight w:val="none"/>
              </w:rPr>
            </w:pPr>
          </w:p>
        </w:tc>
        <w:tc>
          <w:tcPr>
            <w:tcW w:w="162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地址</w:t>
            </w:r>
          </w:p>
        </w:tc>
        <w:tc>
          <w:tcPr>
            <w:tcW w:w="2700" w:type="dxa"/>
            <w:vAlign w:val="center"/>
          </w:tcPr>
          <w:p>
            <w:pPr>
              <w:snapToGrid w:val="0"/>
              <w:spacing w:line="360" w:lineRule="auto"/>
              <w:jc w:val="center"/>
              <w:rPr>
                <w:rFonts w:ascii="宋体" w:hAnsi="宋体" w:cs="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电话</w:t>
            </w:r>
          </w:p>
        </w:tc>
        <w:tc>
          <w:tcPr>
            <w:tcW w:w="2340" w:type="dxa"/>
            <w:vAlign w:val="center"/>
          </w:tcPr>
          <w:p>
            <w:pPr>
              <w:snapToGrid w:val="0"/>
              <w:spacing w:line="360" w:lineRule="auto"/>
              <w:jc w:val="center"/>
              <w:rPr>
                <w:rFonts w:ascii="宋体" w:hAnsi="宋体" w:cs="宋体"/>
                <w:snapToGrid w:val="0"/>
                <w:color w:val="auto"/>
                <w:kern w:val="0"/>
                <w:szCs w:val="21"/>
                <w:highlight w:val="none"/>
              </w:rPr>
            </w:pPr>
          </w:p>
        </w:tc>
        <w:tc>
          <w:tcPr>
            <w:tcW w:w="162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电话</w:t>
            </w:r>
          </w:p>
        </w:tc>
        <w:tc>
          <w:tcPr>
            <w:tcW w:w="2700" w:type="dxa"/>
            <w:vAlign w:val="center"/>
          </w:tcPr>
          <w:p>
            <w:pPr>
              <w:snapToGrid w:val="0"/>
              <w:spacing w:line="360" w:lineRule="auto"/>
              <w:jc w:val="center"/>
              <w:rPr>
                <w:rFonts w:ascii="宋体" w:hAnsi="宋体" w:cs="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开户银行</w:t>
            </w:r>
          </w:p>
        </w:tc>
        <w:tc>
          <w:tcPr>
            <w:tcW w:w="2340" w:type="dxa"/>
            <w:vAlign w:val="center"/>
          </w:tcPr>
          <w:p>
            <w:pPr>
              <w:snapToGrid w:val="0"/>
              <w:spacing w:line="360" w:lineRule="auto"/>
              <w:jc w:val="center"/>
              <w:rPr>
                <w:rFonts w:ascii="宋体" w:hAnsi="宋体" w:cs="宋体"/>
                <w:snapToGrid w:val="0"/>
                <w:color w:val="auto"/>
                <w:kern w:val="0"/>
                <w:szCs w:val="21"/>
                <w:highlight w:val="none"/>
              </w:rPr>
            </w:pPr>
          </w:p>
        </w:tc>
        <w:tc>
          <w:tcPr>
            <w:tcW w:w="162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开户银行</w:t>
            </w:r>
          </w:p>
        </w:tc>
        <w:tc>
          <w:tcPr>
            <w:tcW w:w="2700" w:type="dxa"/>
            <w:vAlign w:val="center"/>
          </w:tcPr>
          <w:p>
            <w:pPr>
              <w:snapToGrid w:val="0"/>
              <w:spacing w:line="360" w:lineRule="auto"/>
              <w:jc w:val="center"/>
              <w:rPr>
                <w:rFonts w:ascii="宋体" w:hAnsi="宋体" w:cs="宋体"/>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44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帐号</w:t>
            </w:r>
          </w:p>
        </w:tc>
        <w:tc>
          <w:tcPr>
            <w:tcW w:w="2340" w:type="dxa"/>
            <w:vAlign w:val="center"/>
          </w:tcPr>
          <w:p>
            <w:pPr>
              <w:snapToGrid w:val="0"/>
              <w:spacing w:line="360" w:lineRule="auto"/>
              <w:jc w:val="center"/>
              <w:rPr>
                <w:rFonts w:ascii="宋体" w:hAnsi="宋体" w:cs="宋体"/>
                <w:snapToGrid w:val="0"/>
                <w:color w:val="auto"/>
                <w:kern w:val="0"/>
                <w:szCs w:val="21"/>
                <w:highlight w:val="none"/>
              </w:rPr>
            </w:pPr>
          </w:p>
        </w:tc>
        <w:tc>
          <w:tcPr>
            <w:tcW w:w="1620" w:type="dxa"/>
            <w:vAlign w:val="center"/>
          </w:tcPr>
          <w:p>
            <w:pPr>
              <w:snapToGrid w:val="0"/>
              <w:spacing w:line="360" w:lineRule="auto"/>
              <w:jc w:val="center"/>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帐号</w:t>
            </w:r>
          </w:p>
        </w:tc>
        <w:tc>
          <w:tcPr>
            <w:tcW w:w="2700" w:type="dxa"/>
            <w:vAlign w:val="center"/>
          </w:tcPr>
          <w:p>
            <w:pPr>
              <w:snapToGrid w:val="0"/>
              <w:spacing w:line="360" w:lineRule="auto"/>
              <w:jc w:val="center"/>
              <w:rPr>
                <w:rFonts w:ascii="宋体" w:hAnsi="宋体" w:cs="宋体"/>
                <w:snapToGrid w:val="0"/>
                <w:color w:val="auto"/>
                <w:kern w:val="0"/>
                <w:szCs w:val="21"/>
                <w:highlight w:val="none"/>
              </w:rPr>
            </w:pPr>
          </w:p>
        </w:tc>
      </w:tr>
    </w:tbl>
    <w:p>
      <w:pPr>
        <w:rPr>
          <w:color w:val="auto"/>
          <w:highlight w:val="none"/>
        </w:rPr>
      </w:pPr>
      <w:r>
        <w:rPr>
          <w:color w:val="auto"/>
          <w:highlight w:val="none"/>
        </w:rPr>
        <w:br w:type="page"/>
      </w:r>
    </w:p>
    <w:p>
      <w:pPr>
        <w:pStyle w:val="4"/>
        <w:jc w:val="center"/>
        <w:rPr>
          <w:color w:val="auto"/>
          <w:sz w:val="36"/>
          <w:szCs w:val="21"/>
          <w:highlight w:val="none"/>
        </w:rPr>
      </w:pPr>
      <w:bookmarkStart w:id="78" w:name="_Toc24101"/>
      <w:bookmarkStart w:id="79" w:name="_Toc7690"/>
      <w:r>
        <w:rPr>
          <w:rFonts w:hint="eastAsia"/>
          <w:color w:val="auto"/>
          <w:sz w:val="36"/>
          <w:szCs w:val="21"/>
          <w:highlight w:val="none"/>
        </w:rPr>
        <w:t>第六部分 应提交的有关格式范例</w:t>
      </w:r>
      <w:bookmarkEnd w:id="78"/>
      <w:bookmarkEnd w:id="79"/>
    </w:p>
    <w:p>
      <w:pPr>
        <w:spacing w:line="360" w:lineRule="auto"/>
        <w:ind w:firstLine="480" w:firstLineChars="200"/>
        <w:outlineLvl w:val="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供应商按照以下格式编制响应文件，</w:t>
      </w:r>
      <w:r>
        <w:rPr>
          <w:rFonts w:hint="eastAsia" w:ascii="宋体" w:hAnsi="宋体" w:cs="宋体"/>
          <w:b/>
          <w:bCs/>
          <w:color w:val="auto"/>
          <w:sz w:val="24"/>
          <w:highlight w:val="none"/>
        </w:rPr>
        <w:t>“资格文件”、“商务技术文件”、“报价文件”须分3个PDF格式分别导入。</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此格式内容仅为参考模板，具体内容供应商应根据磋商文件要求进行调整。未按以下格式编制响应文件或因格式不规范、页码不清等原因引发的一切后果由供应商自行承担。</w:t>
      </w:r>
    </w:p>
    <w:p>
      <w:pPr>
        <w:spacing w:line="360" w:lineRule="auto"/>
        <w:jc w:val="center"/>
        <w:rPr>
          <w:rFonts w:ascii="宋体" w:hAnsi="宋体" w:cs="宋体"/>
          <w:b/>
          <w:color w:val="auto"/>
          <w:kern w:val="0"/>
          <w:sz w:val="36"/>
          <w:szCs w:val="36"/>
          <w:highlight w:val="none"/>
        </w:rPr>
      </w:pPr>
      <w:r>
        <w:rPr>
          <w:rFonts w:hint="eastAsia" w:ascii="宋体" w:hAnsi="宋体" w:cs="宋体"/>
          <w:b/>
          <w:color w:val="auto"/>
          <w:sz w:val="24"/>
          <w:highlight w:val="none"/>
        </w:rPr>
        <w:br w:type="page"/>
      </w:r>
      <w:r>
        <w:rPr>
          <w:rFonts w:hint="eastAsia" w:ascii="宋体" w:hAnsi="宋体" w:cs="宋体"/>
          <w:b/>
          <w:color w:val="auto"/>
          <w:kern w:val="0"/>
          <w:sz w:val="36"/>
          <w:szCs w:val="36"/>
          <w:highlight w:val="none"/>
        </w:rPr>
        <w:t>资格文件部分</w:t>
      </w:r>
    </w:p>
    <w:p>
      <w:pPr>
        <w:spacing w:line="360" w:lineRule="auto"/>
        <w:jc w:val="center"/>
        <w:rPr>
          <w:rFonts w:ascii="宋体" w:hAnsi="宋体" w:cs="宋体"/>
          <w:b/>
          <w:color w:val="auto"/>
          <w:kern w:val="0"/>
          <w:sz w:val="36"/>
          <w:szCs w:val="36"/>
          <w:highlight w:val="none"/>
        </w:rPr>
      </w:pPr>
    </w:p>
    <w:p>
      <w:pPr>
        <w:spacing w:line="360" w:lineRule="auto"/>
        <w:jc w:val="cente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（1）法定代表人授权书；（格式见附件）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（2）声明书；（格式见附件）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营业执照(或事业法人登记证或其他工商等登记证明材料)复印件、税务登记证(或其它缴纳证明材料)复印件、社保登记证（或其它缴纳证明材料）复印件；实施“五证合一、一照一码”登记制度改革的，只需提供改革后取得的营业执照复印件；事业单位的，则提供有效的《事业单位法人证书》副本复印件并加盖单位公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响应文件中提供相关材料），证明其具备实际承担责任的能力和法定的缔结合同能力，可以独立参加政府采购活动，由单位负责人签署相关文件材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（5）前一年度资产负债表等财务报表资料文件；(新成立的公司，必须提供情况说明)</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（6）具有履行合同所必需的产品和专业技术能力的承诺函；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（7）提供有效的依法缴纳税收证明（完税凭证或税务部门出具的证明）和提供有效的依法缴纳社会保障资金证明（缴纳凭证或人社部门出具的证明）；</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 参加政府采购活动前三年内，在经营活动中没有重大违法记录的声明；</w:t>
      </w:r>
    </w:p>
    <w:p>
      <w:pPr>
        <w:pStyle w:val="31"/>
        <w:keepNext w:val="0"/>
        <w:keepLines w:val="0"/>
        <w:pageBreakBefore w:val="0"/>
        <w:widowControl w:val="0"/>
        <w:numPr>
          <w:ilvl w:val="0"/>
          <w:numId w:val="0"/>
        </w:numPr>
        <w:kinsoku/>
        <w:wordWrap/>
        <w:overflowPunct/>
        <w:topLinePunct w:val="0"/>
        <w:autoSpaceDE/>
        <w:autoSpaceDN/>
        <w:bidi w:val="0"/>
        <w:adjustRightInd w:val="0"/>
        <w:snapToGrid/>
        <w:spacing w:before="0"/>
        <w:ind w:leftChars="0" w:firstLine="480" w:firstLineChars="200"/>
        <w:textAlignment w:val="auto"/>
        <w:rPr>
          <w:rFonts w:ascii="宋体" w:hAnsi="宋体" w:cs="宋体"/>
          <w:color w:val="auto"/>
          <w:szCs w:val="24"/>
          <w:highlight w:val="none"/>
        </w:rPr>
      </w:pPr>
      <w:r>
        <w:rPr>
          <w:rFonts w:hint="eastAsia" w:ascii="宋体" w:hAnsi="宋体" w:cs="宋体"/>
          <w:color w:val="auto"/>
          <w:sz w:val="24"/>
          <w:highlight w:val="none"/>
          <w:lang w:val="en-US" w:eastAsia="zh-CN"/>
        </w:rPr>
        <w:t>（9）</w:t>
      </w:r>
      <w:r>
        <w:rPr>
          <w:rFonts w:hint="eastAsia" w:ascii="宋体" w:hAnsi="宋体"/>
          <w:color w:val="auto"/>
          <w:sz w:val="24"/>
          <w:szCs w:val="24"/>
          <w:highlight w:val="none"/>
        </w:rPr>
        <w:t>省级及以上建设行政主管部门核发的建设工程建筑材料见证取样检测、建设工程结构检测、建设工程钢结构检测及建设工程地基基础检测资质</w:t>
      </w:r>
      <w:r>
        <w:rPr>
          <w:rFonts w:hint="eastAsia" w:ascii="宋体" w:hAnsi="宋体"/>
          <w:color w:val="auto"/>
          <w:sz w:val="24"/>
          <w:szCs w:val="24"/>
          <w:highlight w:val="none"/>
          <w:lang w:eastAsia="zh-CN"/>
        </w:rPr>
        <w:t>证书</w:t>
      </w:r>
      <w:r>
        <w:rPr>
          <w:rFonts w:hint="eastAsia" w:ascii="宋体" w:hAnsi="宋体"/>
          <w:color w:val="auto"/>
          <w:sz w:val="24"/>
          <w:szCs w:val="24"/>
          <w:highlight w:val="none"/>
          <w:lang w:val="en-US" w:eastAsia="zh-CN"/>
        </w:rPr>
        <w:t>复印件</w:t>
      </w:r>
      <w:r>
        <w:rPr>
          <w:rFonts w:hint="eastAsia" w:ascii="宋体" w:hAnsi="宋体"/>
          <w:color w:val="auto"/>
          <w:sz w:val="24"/>
          <w:szCs w:val="24"/>
          <w:highlight w:val="none"/>
        </w:rPr>
        <w:t>（加盖单位公章）</w:t>
      </w:r>
    </w:p>
    <w:p>
      <w:pPr>
        <w:pStyle w:val="31"/>
        <w:keepNext w:val="0"/>
        <w:keepLines w:val="0"/>
        <w:pageBreakBefore w:val="0"/>
        <w:widowControl w:val="0"/>
        <w:numPr>
          <w:ilvl w:val="0"/>
          <w:numId w:val="0"/>
        </w:numPr>
        <w:kinsoku/>
        <w:wordWrap/>
        <w:overflowPunct/>
        <w:topLinePunct w:val="0"/>
        <w:autoSpaceDE/>
        <w:autoSpaceDN/>
        <w:bidi w:val="0"/>
        <w:adjustRightInd w:val="0"/>
        <w:snapToGrid/>
        <w:spacing w:before="0"/>
        <w:ind w:leftChars="0" w:firstLine="480" w:firstLineChars="200"/>
        <w:textAlignment w:val="auto"/>
        <w:rPr>
          <w:rFonts w:ascii="宋体" w:hAnsi="宋体" w:cs="宋体"/>
          <w:color w:val="auto"/>
          <w:szCs w:val="24"/>
          <w:highlight w:val="none"/>
        </w:rPr>
      </w:pPr>
      <w:r>
        <w:rPr>
          <w:rFonts w:hint="eastAsia" w:ascii="宋体" w:hAnsi="宋体" w:cs="宋体"/>
          <w:color w:val="auto"/>
          <w:kern w:val="1"/>
          <w:sz w:val="24"/>
          <w:highlight w:val="none"/>
          <w:lang w:eastAsia="zh-CN"/>
        </w:rPr>
        <w:t>（</w:t>
      </w:r>
      <w:r>
        <w:rPr>
          <w:rFonts w:hint="eastAsia" w:ascii="宋体" w:hAnsi="宋体" w:cs="宋体"/>
          <w:color w:val="auto"/>
          <w:kern w:val="1"/>
          <w:sz w:val="24"/>
          <w:highlight w:val="none"/>
          <w:lang w:val="en-US" w:eastAsia="zh-CN"/>
        </w:rPr>
        <w:t>10）</w:t>
      </w:r>
      <w:r>
        <w:rPr>
          <w:rFonts w:hint="eastAsia" w:ascii="宋体" w:hAnsi="宋体" w:cs="宋体"/>
          <w:color w:val="auto"/>
          <w:kern w:val="1"/>
          <w:sz w:val="24"/>
          <w:highlight w:val="none"/>
        </w:rPr>
        <w:t>省级及以上质量技术监督局计量认证证书</w:t>
      </w:r>
      <w:r>
        <w:rPr>
          <w:rFonts w:hint="eastAsia" w:ascii="宋体" w:hAnsi="宋体" w:cs="宋体"/>
          <w:color w:val="auto"/>
          <w:kern w:val="1"/>
          <w:sz w:val="24"/>
          <w:highlight w:val="none"/>
          <w:lang w:eastAsia="zh-CN"/>
        </w:rPr>
        <w:t>（</w:t>
      </w:r>
      <w:r>
        <w:rPr>
          <w:rFonts w:hint="eastAsia" w:ascii="宋体" w:hAnsi="宋体" w:cs="宋体"/>
          <w:color w:val="auto"/>
          <w:kern w:val="1"/>
          <w:sz w:val="24"/>
          <w:highlight w:val="none"/>
          <w:lang w:val="en-US" w:eastAsia="zh-CN"/>
        </w:rPr>
        <w:t>CMA）和省级及以上高级人民法院建设工程质量司法鉴定机构入册单位相关证书复印件并加盖单位公章</w:t>
      </w:r>
    </w:p>
    <w:p>
      <w:pPr>
        <w:spacing w:line="360" w:lineRule="auto"/>
        <w:ind w:firstLine="480" w:firstLineChars="200"/>
        <w:rPr>
          <w:rFonts w:hint="eastAsia" w:ascii="宋体" w:hAnsi="宋体" w:cs="宋体"/>
          <w:color w:val="auto"/>
          <w:sz w:val="24"/>
          <w:highlight w:val="none"/>
        </w:rPr>
      </w:pPr>
    </w:p>
    <w:p>
      <w:pPr>
        <w:ind w:firstLine="486"/>
        <w:rPr>
          <w:rFonts w:hint="default" w:cs="宋体"/>
          <w:color w:val="auto"/>
          <w:highlight w:val="none"/>
        </w:rPr>
      </w:pPr>
    </w:p>
    <w:p>
      <w:pPr>
        <w:ind w:firstLine="486"/>
        <w:rPr>
          <w:rFonts w:hint="default" w:cs="宋体"/>
          <w:color w:val="auto"/>
          <w:highlight w:val="none"/>
        </w:rPr>
      </w:pPr>
    </w:p>
    <w:p>
      <w:pPr>
        <w:ind w:firstLine="486"/>
        <w:rPr>
          <w:rFonts w:hint="default" w:cs="宋体"/>
          <w:color w:val="auto"/>
          <w:highlight w:val="none"/>
        </w:rPr>
      </w:pPr>
    </w:p>
    <w:p>
      <w:pPr>
        <w:rPr>
          <w:rFonts w:ascii="宋体" w:hAnsi="宋体" w:cs="宋体"/>
          <w:color w:val="auto"/>
          <w:highlight w:val="none"/>
        </w:rPr>
      </w:pPr>
      <w:r>
        <w:rPr>
          <w:rFonts w:hint="eastAsia" w:ascii="宋体" w:hAnsi="宋体" w:cs="宋体"/>
          <w:color w:val="auto"/>
          <w:highlight w:val="none"/>
        </w:rPr>
        <w:br w:type="page"/>
      </w:r>
    </w:p>
    <w:p>
      <w:pPr>
        <w:ind w:firstLine="0"/>
        <w:rPr>
          <w:rFonts w:hint="default" w:cs="宋体"/>
          <w:color w:val="auto"/>
          <w:highlight w:val="none"/>
        </w:rPr>
      </w:pPr>
    </w:p>
    <w:p>
      <w:pPr>
        <w:rPr>
          <w:b/>
          <w:bCs/>
          <w:color w:val="auto"/>
          <w:highlight w:val="none"/>
        </w:rPr>
      </w:pPr>
      <w:bookmarkStart w:id="80" w:name="_Toc24699"/>
    </w:p>
    <w:p>
      <w:pPr>
        <w:rPr>
          <w:b/>
          <w:bCs/>
          <w:color w:val="auto"/>
          <w:highlight w:val="none"/>
        </w:rPr>
      </w:pPr>
      <w:r>
        <w:rPr>
          <w:rFonts w:hint="eastAsia"/>
          <w:b/>
          <w:bCs/>
          <w:color w:val="auto"/>
          <w:highlight w:val="none"/>
        </w:rPr>
        <w:t>附件一：</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法定代表人授权书</w:t>
      </w:r>
      <w:bookmarkEnd w:id="80"/>
    </w:p>
    <w:p>
      <w:pPr>
        <w:pStyle w:val="3"/>
        <w:spacing w:line="360" w:lineRule="auto"/>
        <w:rPr>
          <w:rFonts w:ascii="宋体" w:hAnsi="宋体" w:cs="宋体"/>
          <w:color w:val="auto"/>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绍兴市上虞区</w:t>
      </w:r>
      <w:r>
        <w:rPr>
          <w:rFonts w:hint="eastAsia" w:ascii="宋体" w:hAnsi="宋体" w:cs="宋体"/>
          <w:color w:val="auto"/>
          <w:sz w:val="24"/>
          <w:highlight w:val="none"/>
          <w:lang w:val="en-US" w:eastAsia="zh-CN"/>
        </w:rPr>
        <w:t>应急管理局</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u w:val="single"/>
        </w:rPr>
        <w:t xml:space="preserve">  （供应商全称） </w:t>
      </w:r>
      <w:r>
        <w:rPr>
          <w:rFonts w:hint="eastAsia" w:ascii="宋体" w:hAnsi="宋体" w:cs="宋体"/>
          <w:color w:val="auto"/>
          <w:sz w:val="24"/>
          <w:highlight w:val="none"/>
        </w:rPr>
        <w:t>法定代表人授权</w:t>
      </w:r>
      <w:r>
        <w:rPr>
          <w:rFonts w:hint="eastAsia" w:ascii="宋体" w:hAnsi="宋体" w:cs="宋体"/>
          <w:color w:val="auto"/>
          <w:sz w:val="24"/>
          <w:highlight w:val="none"/>
          <w:u w:val="single"/>
        </w:rPr>
        <w:t>（授权代表名称）</w:t>
      </w:r>
      <w:r>
        <w:rPr>
          <w:rFonts w:hint="eastAsia" w:ascii="宋体" w:hAnsi="宋体" w:cs="宋体"/>
          <w:color w:val="auto"/>
          <w:sz w:val="24"/>
          <w:highlight w:val="none"/>
        </w:rPr>
        <w:t>为授权代表，参加贵</w:t>
      </w:r>
      <w:r>
        <w:rPr>
          <w:rFonts w:hint="eastAsia" w:ascii="宋体" w:hAnsi="宋体" w:cs="宋体"/>
          <w:color w:val="auto"/>
          <w:sz w:val="24"/>
          <w:highlight w:val="none"/>
          <w:lang w:val="en-US" w:eastAsia="zh-CN"/>
        </w:rPr>
        <w:t>单位</w:t>
      </w:r>
      <w:r>
        <w:rPr>
          <w:rFonts w:hint="eastAsia" w:ascii="宋体" w:hAnsi="宋体" w:cs="宋体"/>
          <w:color w:val="auto"/>
          <w:sz w:val="24"/>
          <w:highlight w:val="none"/>
        </w:rPr>
        <w:t>组织的项目</w:t>
      </w:r>
      <w:r>
        <w:rPr>
          <w:rFonts w:hint="eastAsia" w:ascii="宋体" w:hAnsi="宋体" w:cs="宋体"/>
          <w:color w:val="auto"/>
          <w:sz w:val="24"/>
          <w:highlight w:val="none"/>
          <w:u w:val="single"/>
        </w:rPr>
        <w:t>（括号内填写招标编号）</w:t>
      </w:r>
      <w:r>
        <w:rPr>
          <w:rFonts w:hint="eastAsia" w:ascii="宋体" w:hAnsi="宋体" w:cs="宋体"/>
          <w:color w:val="auto"/>
          <w:sz w:val="24"/>
          <w:highlight w:val="none"/>
          <w:u w:val="single"/>
          <w:lang w:val="en-US" w:eastAsia="zh-CN"/>
        </w:rPr>
        <w:t>的投标</w:t>
      </w:r>
      <w:r>
        <w:rPr>
          <w:rFonts w:hint="eastAsia" w:ascii="宋体" w:hAnsi="宋体" w:cs="宋体"/>
          <w:color w:val="auto"/>
          <w:sz w:val="24"/>
          <w:highlight w:val="none"/>
        </w:rPr>
        <w:t>，授权处理招投标活动中的一切事宜。</w:t>
      </w: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法定代表人签字：</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供应商全称：（盖章）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日期：</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附：</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授权代表姓名：</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职务：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详细通讯地址：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传真：</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邮政编码：</w:t>
      </w:r>
    </w:p>
    <w:p>
      <w:pPr>
        <w:pStyle w:val="14"/>
        <w:snapToGrid w:val="0"/>
        <w:spacing w:line="360" w:lineRule="auto"/>
        <w:rPr>
          <w:rFonts w:hAnsi="宋体" w:cs="宋体"/>
          <w:color w:val="auto"/>
          <w:sz w:val="24"/>
          <w:highlight w:val="none"/>
        </w:rPr>
      </w:pPr>
    </w:p>
    <w:p>
      <w:pPr>
        <w:pStyle w:val="14"/>
        <w:snapToGrid w:val="0"/>
        <w:spacing w:line="360" w:lineRule="auto"/>
        <w:rPr>
          <w:rFonts w:hAnsi="宋体" w:cs="宋体"/>
          <w:color w:val="auto"/>
          <w:sz w:val="24"/>
          <w:highlight w:val="none"/>
        </w:rPr>
      </w:pPr>
    </w:p>
    <w:p>
      <w:pPr>
        <w:pStyle w:val="14"/>
        <w:snapToGrid w:val="0"/>
        <w:spacing w:line="360" w:lineRule="auto"/>
        <w:rPr>
          <w:rFonts w:hAnsi="宋体" w:cs="宋体"/>
          <w:color w:val="auto"/>
          <w:sz w:val="24"/>
          <w:highlight w:val="none"/>
        </w:rPr>
      </w:pPr>
    </w:p>
    <w:p>
      <w:pPr>
        <w:spacing w:line="360" w:lineRule="auto"/>
        <w:rPr>
          <w:rFonts w:ascii="宋体" w:hAnsi="宋体" w:cs="宋体"/>
          <w:b/>
          <w:color w:val="auto"/>
          <w:sz w:val="24"/>
          <w:highlight w:val="none"/>
        </w:rPr>
      </w:pPr>
      <w:r>
        <w:rPr>
          <w:rFonts w:hint="eastAsia" w:ascii="宋体" w:hAnsi="宋体" w:cs="宋体"/>
          <w:b/>
          <w:color w:val="auto"/>
          <w:sz w:val="24"/>
          <w:highlight w:val="none"/>
        </w:rPr>
        <w:t>附：授权代表身份证复印件（正反面）</w:t>
      </w:r>
    </w:p>
    <w:p>
      <w:pPr>
        <w:spacing w:line="360" w:lineRule="auto"/>
        <w:rPr>
          <w:rFonts w:ascii="宋体" w:hAnsi="宋体" w:cs="宋体"/>
          <w:b/>
          <w:color w:val="auto"/>
          <w:sz w:val="24"/>
          <w:highlight w:val="none"/>
        </w:rPr>
      </w:pPr>
    </w:p>
    <w:p>
      <w:pPr>
        <w:ind w:firstLine="486"/>
        <w:rPr>
          <w:rFonts w:hint="default" w:cs="宋体"/>
          <w:color w:val="auto"/>
          <w:highlight w:val="none"/>
        </w:rPr>
      </w:pPr>
    </w:p>
    <w:p>
      <w:pPr>
        <w:snapToGrid w:val="0"/>
        <w:spacing w:before="50" w:afterLines="50"/>
        <w:jc w:val="left"/>
        <w:rPr>
          <w:rFonts w:ascii="宋体" w:hAnsi="宋体" w:cs="宋体"/>
          <w:b/>
          <w:bCs/>
          <w:color w:val="auto"/>
          <w:sz w:val="24"/>
          <w:highlight w:val="none"/>
          <w:lang w:val="zh-CN"/>
        </w:rPr>
      </w:pPr>
      <w:r>
        <w:rPr>
          <w:rFonts w:hint="eastAsia" w:ascii="宋体" w:hAnsi="宋体" w:cs="宋体"/>
          <w:b/>
          <w:bCs/>
          <w:color w:val="auto"/>
          <w:sz w:val="24"/>
          <w:highlight w:val="none"/>
        </w:rPr>
        <w:br w:type="page"/>
      </w:r>
      <w:r>
        <w:rPr>
          <w:rFonts w:hint="eastAsia" w:ascii="宋体" w:hAnsi="宋体" w:cs="宋体"/>
          <w:b/>
          <w:bCs/>
          <w:color w:val="auto"/>
          <w:sz w:val="24"/>
          <w:highlight w:val="none"/>
          <w:lang w:val="zh-CN"/>
        </w:rPr>
        <w:t>附件二：</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声 明 书</w:t>
      </w:r>
    </w:p>
    <w:p>
      <w:pPr>
        <w:spacing w:line="360" w:lineRule="auto"/>
        <w:ind w:firstLine="420" w:firstLineChars="200"/>
        <w:rPr>
          <w:rFonts w:ascii="宋体" w:hAnsi="宋体" w:cs="宋体"/>
          <w:color w:val="auto"/>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绍兴市上虞区</w:t>
      </w:r>
      <w:r>
        <w:rPr>
          <w:rFonts w:hint="eastAsia" w:ascii="宋体" w:hAnsi="宋体" w:cs="宋体"/>
          <w:color w:val="auto"/>
          <w:sz w:val="24"/>
          <w:highlight w:val="none"/>
          <w:lang w:val="en-US" w:eastAsia="zh-CN"/>
        </w:rPr>
        <w:t>应急管理局</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u w:val="single"/>
        </w:rPr>
        <w:t>（供应商名称）</w:t>
      </w:r>
      <w:r>
        <w:rPr>
          <w:rFonts w:hint="eastAsia" w:ascii="宋体" w:hAnsi="宋体" w:cs="宋体"/>
          <w:color w:val="auto"/>
          <w:sz w:val="24"/>
          <w:highlight w:val="none"/>
        </w:rPr>
        <w:t>系中华人民共和国合法企业，经营地址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w:t>
      </w:r>
      <w:r>
        <w:rPr>
          <w:rFonts w:hint="eastAsia" w:ascii="宋体" w:hAnsi="宋体" w:cs="宋体"/>
          <w:color w:val="auto"/>
          <w:sz w:val="24"/>
          <w:highlight w:val="none"/>
          <w:u w:val="single"/>
        </w:rPr>
        <w:t>（姓名）</w:t>
      </w:r>
      <w:r>
        <w:rPr>
          <w:rFonts w:hint="eastAsia" w:ascii="宋体" w:hAnsi="宋体" w:cs="宋体"/>
          <w:color w:val="auto"/>
          <w:sz w:val="24"/>
          <w:highlight w:val="none"/>
        </w:rPr>
        <w:t>系</w:t>
      </w:r>
      <w:r>
        <w:rPr>
          <w:rFonts w:hint="eastAsia" w:ascii="宋体" w:hAnsi="宋体" w:cs="宋体"/>
          <w:color w:val="auto"/>
          <w:sz w:val="24"/>
          <w:highlight w:val="none"/>
          <w:u w:val="single"/>
        </w:rPr>
        <w:t>（供应商名称）</w:t>
      </w:r>
      <w:r>
        <w:rPr>
          <w:rFonts w:hint="eastAsia" w:ascii="宋体" w:hAnsi="宋体" w:cs="宋体"/>
          <w:color w:val="auto"/>
          <w:sz w:val="24"/>
          <w:highlight w:val="none"/>
        </w:rPr>
        <w:t>的法定代表人，我方愿意参加贵方组织的</w:t>
      </w:r>
      <w:r>
        <w:rPr>
          <w:rFonts w:hint="eastAsia" w:ascii="宋体" w:hAnsi="宋体" w:cs="宋体"/>
          <w:color w:val="auto"/>
          <w:sz w:val="24"/>
          <w:highlight w:val="none"/>
          <w:u w:val="single"/>
        </w:rPr>
        <w:t>（招标项目名称）（编号为）</w:t>
      </w:r>
      <w:r>
        <w:rPr>
          <w:rFonts w:hint="eastAsia" w:ascii="宋体" w:hAnsi="宋体" w:cs="宋体"/>
          <w:color w:val="auto"/>
          <w:sz w:val="24"/>
          <w:highlight w:val="none"/>
        </w:rPr>
        <w:t>的投标，为此，我方就本次投标有关事项郑重声明如下：</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1、我方已详细审查全部磋商文件，同意磋商文件的各项要求。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2、我方向贵方提交的所有响应文件、资料都是准确的和真实的。</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3、若中标，我方将按磋商文件规定履行合同责任和义务。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4、我方不是采购人的附属机构；在获知本项目采购信息后，与采购人聘请的为此项目提供咨询服务的公司及其附属机构没有任何联系。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5、响应文件自开标日起有效期为90天。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6、我方参与本项目前3年内的经营活动中没有重大违法记录；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7、我方通过“信用中国”网站（www.creditchina.gov.cn）、中国政府采购网（www.ccgp.gov.cn）查询，未被列入失信被执行人、重大税收违法案件当事人名单、政府采购严重违法失信行为记录名单。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8、以上事项如有虚假或隐瞒，我方愿意承担一切后果，并不再寻求任何旨在减轻或免除法律责任的辩解。</w:t>
      </w:r>
    </w:p>
    <w:p>
      <w:pPr>
        <w:rPr>
          <w:rFonts w:hint="default" w:cs="宋体"/>
          <w:color w:val="auto"/>
          <w:highlight w:val="none"/>
        </w:rPr>
      </w:pPr>
    </w:p>
    <w:p>
      <w:pPr>
        <w:rPr>
          <w:rFonts w:hint="default" w:cs="宋体"/>
          <w:color w:val="auto"/>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ind w:firstLine="566"/>
        <w:rPr>
          <w:rFonts w:hint="default" w:cs="宋体"/>
          <w:color w:val="auto"/>
          <w:sz w:val="28"/>
          <w:szCs w:val="28"/>
          <w:highlight w:val="none"/>
        </w:rPr>
      </w:pPr>
    </w:p>
    <w:p>
      <w:pPr>
        <w:pStyle w:val="3"/>
        <w:rPr>
          <w:rFonts w:ascii="宋体" w:hAnsi="宋体" w:cs="宋体"/>
          <w:color w:val="auto"/>
          <w:highlight w:val="none"/>
        </w:rPr>
      </w:pPr>
    </w:p>
    <w:p>
      <w:pPr>
        <w:pStyle w:val="3"/>
        <w:rPr>
          <w:rFonts w:ascii="宋体" w:hAnsi="宋体" w:cs="宋体"/>
          <w:color w:val="auto"/>
          <w:highlight w:val="none"/>
        </w:rPr>
      </w:pPr>
    </w:p>
    <w:p>
      <w:pPr>
        <w:pStyle w:val="3"/>
        <w:rPr>
          <w:rFonts w:ascii="宋体" w:hAnsi="宋体" w:cs="宋体"/>
          <w:color w:val="auto"/>
          <w:highlight w:val="none"/>
        </w:rPr>
      </w:pPr>
    </w:p>
    <w:p>
      <w:pPr>
        <w:spacing w:line="360" w:lineRule="auto"/>
        <w:rPr>
          <w:rFonts w:ascii="宋体" w:hAnsi="宋体" w:cs="宋体"/>
          <w:b/>
          <w:color w:val="auto"/>
          <w:kern w:val="0"/>
          <w:sz w:val="36"/>
          <w:szCs w:val="36"/>
          <w:highlight w:val="none"/>
        </w:rPr>
      </w:pPr>
    </w:p>
    <w:p>
      <w:pPr>
        <w:widowControl/>
        <w:jc w:val="left"/>
        <w:rPr>
          <w:rFonts w:ascii="宋体" w:hAnsi="宋体" w:cs="宋体"/>
          <w:b/>
          <w:bCs/>
          <w:color w:val="auto"/>
          <w:sz w:val="24"/>
          <w:highlight w:val="none"/>
          <w:lang w:val="zh-CN"/>
        </w:rPr>
      </w:pPr>
    </w:p>
    <w:p>
      <w:pPr>
        <w:spacing w:line="360" w:lineRule="auto"/>
        <w:jc w:val="cente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w:t>
      </w:r>
    </w:p>
    <w:p>
      <w:pPr>
        <w:spacing w:line="360" w:lineRule="auto"/>
        <w:jc w:val="center"/>
        <w:rPr>
          <w:rFonts w:ascii="宋体" w:hAnsi="宋体" w:cs="宋体"/>
          <w:b/>
          <w:color w:val="auto"/>
          <w:kern w:val="0"/>
          <w:sz w:val="36"/>
          <w:szCs w:val="36"/>
          <w:highlight w:val="none"/>
        </w:rPr>
      </w:pPr>
    </w:p>
    <w:p>
      <w:pPr>
        <w:spacing w:line="360" w:lineRule="auto"/>
        <w:jc w:val="cente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ind w:left="426" w:firstLine="486"/>
        <w:rPr>
          <w:rFonts w:hint="default" w:cs="宋体"/>
          <w:color w:val="auto"/>
          <w:highlight w:val="none"/>
        </w:rPr>
      </w:pP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（1）评分对应表（格式见附件，主要用于评委对应评分内容）</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（2）供应商商务技术文件中资信分自评表（格式见附件）；</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（3）磋商项目明细清单（格式见附件）；</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（4）技术响应及建议表（格式见附件）；</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（5）商务响应表（格式见附件）；</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（6）</w:t>
      </w:r>
      <w:r>
        <w:rPr>
          <w:rFonts w:hint="eastAsia" w:ascii="宋体" w:hAnsi="宋体" w:cs="宋体"/>
          <w:color w:val="auto"/>
          <w:szCs w:val="24"/>
          <w:highlight w:val="none"/>
          <w:lang w:val="en-US" w:eastAsia="zh-CN"/>
        </w:rPr>
        <w:t>项目理解</w:t>
      </w:r>
      <w:r>
        <w:rPr>
          <w:rFonts w:hint="eastAsia" w:ascii="宋体" w:hAnsi="宋体" w:cs="宋体"/>
          <w:color w:val="auto"/>
          <w:szCs w:val="24"/>
          <w:highlight w:val="none"/>
        </w:rPr>
        <w:t>；</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（7）</w:t>
      </w:r>
      <w:r>
        <w:rPr>
          <w:rFonts w:hint="eastAsia" w:ascii="宋体" w:hAnsi="宋体" w:cs="宋体"/>
          <w:color w:val="auto"/>
          <w:szCs w:val="24"/>
          <w:highlight w:val="none"/>
          <w:lang w:val="en-US" w:eastAsia="zh-CN"/>
        </w:rPr>
        <w:t>关键技术重点、难点及解决方案</w:t>
      </w:r>
      <w:r>
        <w:rPr>
          <w:rFonts w:hint="eastAsia" w:ascii="宋体" w:hAnsi="宋体" w:cs="宋体"/>
          <w:color w:val="auto"/>
          <w:szCs w:val="24"/>
          <w:highlight w:val="none"/>
        </w:rPr>
        <w:t>；</w:t>
      </w:r>
    </w:p>
    <w:p>
      <w:pPr>
        <w:pStyle w:val="31"/>
        <w:spacing w:before="0"/>
        <w:ind w:firstLine="0" w:firstLineChars="0"/>
        <w:rPr>
          <w:rFonts w:ascii="宋体" w:hAnsi="宋体" w:cs="宋体"/>
          <w:color w:val="auto"/>
          <w:szCs w:val="24"/>
          <w:highlight w:val="none"/>
        </w:rPr>
      </w:pPr>
      <w:r>
        <w:rPr>
          <w:rFonts w:hint="eastAsia" w:ascii="宋体" w:hAnsi="宋体" w:cs="宋体"/>
          <w:color w:val="auto"/>
          <w:szCs w:val="24"/>
          <w:highlight w:val="none"/>
        </w:rPr>
        <w:t>（8）</w:t>
      </w:r>
      <w:r>
        <w:rPr>
          <w:rFonts w:hint="eastAsia" w:ascii="宋体" w:hAnsi="宋体" w:cs="宋体"/>
          <w:color w:val="auto"/>
          <w:highlight w:val="none"/>
          <w:lang w:val="en-US" w:eastAsia="zh-CN"/>
        </w:rPr>
        <w:t>实施方案、服务质量、保证措施</w:t>
      </w:r>
      <w:r>
        <w:rPr>
          <w:rFonts w:hint="eastAsia" w:ascii="宋体" w:hAnsi="宋体" w:cs="宋体"/>
          <w:color w:val="auto"/>
          <w:szCs w:val="24"/>
          <w:highlight w:val="none"/>
        </w:rPr>
        <w:t>；</w:t>
      </w:r>
    </w:p>
    <w:p>
      <w:pPr>
        <w:pStyle w:val="31"/>
        <w:spacing w:before="0"/>
        <w:ind w:firstLine="0" w:firstLineChars="0"/>
        <w:rPr>
          <w:rFonts w:hint="eastAsia" w:ascii="宋体" w:hAnsi="宋体" w:cs="宋体"/>
          <w:color w:val="auto"/>
          <w:highlight w:val="none"/>
          <w:lang w:val="en-US" w:eastAsia="zh-CN"/>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团队</w:t>
      </w:r>
      <w:r>
        <w:rPr>
          <w:rFonts w:hint="eastAsia" w:ascii="宋体" w:hAnsi="宋体" w:cs="宋体"/>
          <w:color w:val="auto"/>
          <w:highlight w:val="none"/>
          <w:lang w:val="en-US" w:eastAsia="zh-CN"/>
        </w:rPr>
        <w:t>技术力量；</w:t>
      </w:r>
    </w:p>
    <w:p>
      <w:pPr>
        <w:pStyle w:val="31"/>
        <w:spacing w:before="0"/>
        <w:ind w:firstLine="0" w:firstLineChars="0"/>
        <w:rPr>
          <w:rFonts w:hint="eastAsia" w:ascii="宋体" w:hAnsi="宋体" w:cs="宋体"/>
          <w:color w:val="auto"/>
          <w:highlight w:val="none"/>
          <w:lang w:val="en-US" w:eastAsia="zh-CN"/>
        </w:rPr>
      </w:pPr>
      <w:r>
        <w:rPr>
          <w:rFonts w:hint="eastAsia" w:ascii="宋体" w:hAnsi="宋体" w:cs="宋体"/>
          <w:color w:val="auto"/>
          <w:highlight w:val="none"/>
          <w:lang w:val="en-US" w:eastAsia="zh-CN"/>
        </w:rPr>
        <w:t>（10）设备配备；</w:t>
      </w:r>
    </w:p>
    <w:p>
      <w:pPr>
        <w:pStyle w:val="31"/>
        <w:spacing w:before="0"/>
        <w:ind w:firstLine="0" w:firstLineChars="0"/>
        <w:rPr>
          <w:rFonts w:hint="eastAsia" w:ascii="宋体" w:hAnsi="宋体" w:cs="宋体"/>
          <w:color w:val="auto"/>
          <w:szCs w:val="24"/>
          <w:highlight w:val="none"/>
        </w:rPr>
      </w:pPr>
      <w:r>
        <w:rPr>
          <w:rFonts w:hint="eastAsia" w:ascii="宋体" w:hAnsi="宋体" w:cs="宋体"/>
          <w:color w:val="auto"/>
          <w:highlight w:val="none"/>
          <w:lang w:val="en-US" w:eastAsia="zh-CN"/>
        </w:rPr>
        <w:t>（11）本地化服务</w:t>
      </w:r>
      <w:r>
        <w:rPr>
          <w:rFonts w:hint="eastAsia" w:ascii="宋体" w:hAnsi="宋体" w:cs="宋体"/>
          <w:color w:val="auto"/>
          <w:szCs w:val="24"/>
          <w:highlight w:val="none"/>
        </w:rPr>
        <w:t>；</w:t>
      </w:r>
    </w:p>
    <w:p>
      <w:pPr>
        <w:pStyle w:val="31"/>
        <w:spacing w:before="0"/>
        <w:ind w:firstLine="0" w:firstLineChars="0"/>
        <w:rPr>
          <w:rFonts w:hint="eastAsia" w:ascii="宋体" w:hAnsi="宋体" w:cs="宋体"/>
          <w:color w:val="auto"/>
          <w:szCs w:val="24"/>
          <w:highlight w:val="none"/>
          <w:lang w:val="en-US" w:eastAsia="zh-CN"/>
        </w:rPr>
      </w:pPr>
      <w:r>
        <w:rPr>
          <w:rFonts w:hint="eastAsia" w:ascii="宋体" w:hAnsi="宋体" w:cs="宋体"/>
          <w:color w:val="auto"/>
          <w:szCs w:val="24"/>
          <w:highlight w:val="none"/>
        </w:rPr>
        <w:t>（12）</w:t>
      </w:r>
      <w:r>
        <w:rPr>
          <w:rFonts w:hint="eastAsia" w:ascii="宋体" w:hAnsi="宋体" w:cs="宋体"/>
          <w:color w:val="auto"/>
          <w:szCs w:val="24"/>
          <w:highlight w:val="none"/>
          <w:lang w:val="en-US" w:eastAsia="zh-CN"/>
        </w:rPr>
        <w:t>投标文件质量；</w:t>
      </w:r>
    </w:p>
    <w:p>
      <w:pPr>
        <w:pStyle w:val="31"/>
        <w:spacing w:before="0"/>
        <w:ind w:firstLine="0" w:firstLineChars="0"/>
        <w:rPr>
          <w:rFonts w:hint="eastAsia" w:ascii="宋体" w:hAnsi="宋体" w:cs="宋体"/>
          <w:color w:val="auto"/>
          <w:szCs w:val="24"/>
          <w:highlight w:val="none"/>
          <w:lang w:val="en-US" w:eastAsia="zh-CN"/>
        </w:rPr>
      </w:pPr>
      <w:r>
        <w:rPr>
          <w:rFonts w:hint="eastAsia" w:ascii="宋体" w:hAnsi="宋体" w:cs="宋体"/>
          <w:color w:val="auto"/>
          <w:szCs w:val="24"/>
          <w:highlight w:val="none"/>
          <w:lang w:eastAsia="zh-CN"/>
        </w:rPr>
        <w:t>（</w:t>
      </w:r>
      <w:r>
        <w:rPr>
          <w:rFonts w:hint="eastAsia" w:ascii="宋体" w:hAnsi="宋体" w:cs="宋体"/>
          <w:color w:val="auto"/>
          <w:szCs w:val="24"/>
          <w:highlight w:val="none"/>
          <w:lang w:val="en-US" w:eastAsia="zh-CN"/>
        </w:rPr>
        <w:t>13）企业业绩；</w:t>
      </w:r>
    </w:p>
    <w:p>
      <w:pPr>
        <w:pStyle w:val="31"/>
        <w:spacing w:before="0"/>
        <w:ind w:firstLine="0" w:firstLineChars="0"/>
        <w:rPr>
          <w:rFonts w:hint="default" w:ascii="宋体" w:hAnsi="宋体" w:cs="宋体"/>
          <w:color w:val="auto"/>
          <w:szCs w:val="24"/>
          <w:highlight w:val="none"/>
          <w:lang w:val="en-US" w:eastAsia="zh-CN"/>
        </w:rPr>
      </w:pPr>
      <w:r>
        <w:rPr>
          <w:rFonts w:hint="eastAsia" w:ascii="宋体" w:hAnsi="宋体" w:cs="宋体"/>
          <w:color w:val="auto"/>
          <w:szCs w:val="24"/>
          <w:highlight w:val="none"/>
          <w:lang w:val="en-US" w:eastAsia="zh-CN"/>
        </w:rPr>
        <w:t>（14）企业科研力量；</w:t>
      </w:r>
    </w:p>
    <w:p>
      <w:pPr>
        <w:pStyle w:val="31"/>
        <w:spacing w:before="0"/>
        <w:ind w:firstLine="0" w:firstLineChars="0"/>
        <w:rPr>
          <w:rFonts w:hint="default" w:ascii="宋体" w:hAnsi="宋体" w:cs="宋体"/>
          <w:color w:val="auto"/>
          <w:szCs w:val="24"/>
          <w:highlight w:val="none"/>
          <w:lang w:val="en-US" w:eastAsia="zh-CN"/>
        </w:rPr>
      </w:pPr>
      <w:r>
        <w:rPr>
          <w:rFonts w:hint="eastAsia" w:ascii="宋体" w:hAnsi="宋体" w:cs="宋体"/>
          <w:color w:val="auto"/>
          <w:szCs w:val="24"/>
          <w:highlight w:val="none"/>
          <w:lang w:val="en-US" w:eastAsia="zh-CN"/>
        </w:rPr>
        <w:t>（15）企业资信；</w:t>
      </w:r>
    </w:p>
    <w:p>
      <w:pPr>
        <w:pStyle w:val="31"/>
        <w:spacing w:before="0"/>
        <w:ind w:firstLine="0" w:firstLineChars="0"/>
        <w:rPr>
          <w:rFonts w:hint="default" w:ascii="宋体" w:hAnsi="宋体" w:eastAsia="宋体" w:cs="宋体"/>
          <w:color w:val="auto"/>
          <w:szCs w:val="24"/>
          <w:highlight w:val="none"/>
          <w:lang w:val="en-US" w:eastAsia="zh-CN"/>
        </w:rPr>
      </w:pPr>
      <w:r>
        <w:rPr>
          <w:rFonts w:hint="eastAsia" w:ascii="宋体" w:hAnsi="宋体" w:cs="宋体"/>
          <w:color w:val="auto"/>
          <w:szCs w:val="24"/>
          <w:highlight w:val="none"/>
          <w:lang w:val="en-US" w:eastAsia="zh-CN"/>
        </w:rPr>
        <w:t>（16）</w:t>
      </w:r>
      <w:r>
        <w:rPr>
          <w:rFonts w:hint="eastAsia" w:ascii="宋体" w:hAnsi="宋体" w:cs="宋体"/>
          <w:color w:val="auto"/>
          <w:szCs w:val="24"/>
          <w:highlight w:val="none"/>
        </w:rPr>
        <w:t xml:space="preserve">供应商认为需要的其他文件资料。 </w:t>
      </w:r>
    </w:p>
    <w:p>
      <w:pPr>
        <w:pStyle w:val="14"/>
        <w:spacing w:line="500" w:lineRule="exact"/>
        <w:ind w:firstLine="480" w:firstLineChars="200"/>
        <w:rPr>
          <w:rFonts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ind w:firstLine="566"/>
        <w:rPr>
          <w:rFonts w:hint="default" w:cs="宋体"/>
          <w:color w:val="auto"/>
          <w:sz w:val="28"/>
          <w:szCs w:val="28"/>
          <w:highlight w:val="none"/>
        </w:rPr>
      </w:pPr>
    </w:p>
    <w:p>
      <w:pPr>
        <w:ind w:firstLine="566"/>
        <w:rPr>
          <w:rFonts w:hint="default" w:cs="宋体"/>
          <w:color w:val="auto"/>
          <w:sz w:val="28"/>
          <w:szCs w:val="28"/>
          <w:highlight w:val="none"/>
        </w:rPr>
      </w:pPr>
    </w:p>
    <w:p>
      <w:pPr>
        <w:rPr>
          <w:rFonts w:ascii="宋体" w:hAnsi="宋体" w:cs="宋体"/>
          <w:color w:val="auto"/>
          <w:sz w:val="28"/>
          <w:szCs w:val="28"/>
          <w:highlight w:val="none"/>
        </w:rPr>
      </w:pPr>
      <w:r>
        <w:rPr>
          <w:rFonts w:hint="eastAsia" w:ascii="宋体" w:hAnsi="宋体" w:cs="宋体"/>
          <w:color w:val="auto"/>
          <w:sz w:val="28"/>
          <w:szCs w:val="28"/>
          <w:highlight w:val="none"/>
        </w:rPr>
        <w:br w:type="page"/>
      </w:r>
    </w:p>
    <w:p>
      <w:pPr>
        <w:snapToGrid w:val="0"/>
        <w:spacing w:before="50" w:after="50"/>
        <w:jc w:val="left"/>
        <w:rPr>
          <w:rFonts w:ascii="宋体" w:hAnsi="宋体" w:cs="宋体"/>
          <w:b/>
          <w:bCs/>
          <w:color w:val="auto"/>
          <w:sz w:val="24"/>
          <w:highlight w:val="none"/>
          <w:lang w:val="zh-CN"/>
        </w:rPr>
      </w:pPr>
      <w:bookmarkStart w:id="81" w:name="_Toc10131"/>
      <w:r>
        <w:rPr>
          <w:rFonts w:hint="eastAsia" w:ascii="宋体" w:hAnsi="宋体" w:cs="宋体"/>
          <w:b/>
          <w:bCs/>
          <w:color w:val="auto"/>
          <w:sz w:val="24"/>
          <w:highlight w:val="none"/>
          <w:lang w:val="zh-CN"/>
        </w:rPr>
        <w:t>附件三：</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评分对应表</w:t>
      </w:r>
    </w:p>
    <w:p>
      <w:pPr>
        <w:snapToGrid w:val="0"/>
        <w:spacing w:before="50"/>
        <w:jc w:val="center"/>
        <w:rPr>
          <w:rFonts w:ascii="宋体" w:hAnsi="宋体" w:cs="宋体"/>
          <w:b/>
          <w:color w:val="auto"/>
          <w:sz w:val="32"/>
          <w:szCs w:val="32"/>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采购编号：</w:t>
      </w:r>
    </w:p>
    <w:tbl>
      <w:tblPr>
        <w:tblStyle w:val="2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888"/>
        <w:gridCol w:w="3060"/>
        <w:gridCol w:w="197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评分项目</w:t>
            </w:r>
          </w:p>
        </w:tc>
        <w:tc>
          <w:tcPr>
            <w:tcW w:w="3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响应文件对应资料</w:t>
            </w:r>
          </w:p>
        </w:tc>
        <w:tc>
          <w:tcPr>
            <w:tcW w:w="19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响应文件页码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对应评分办法及评分标准</w:t>
            </w:r>
          </w:p>
          <w:p>
            <w:pPr>
              <w:jc w:val="center"/>
              <w:rPr>
                <w:rFonts w:ascii="宋体" w:hAnsi="宋体" w:cs="宋体"/>
                <w:color w:val="auto"/>
                <w:sz w:val="24"/>
                <w:highlight w:val="none"/>
              </w:rPr>
            </w:pPr>
            <w:r>
              <w:rPr>
                <w:rFonts w:hint="eastAsia" w:ascii="宋体" w:hAnsi="宋体" w:cs="宋体"/>
                <w:color w:val="auto"/>
                <w:sz w:val="24"/>
                <w:highlight w:val="none"/>
              </w:rPr>
              <w:t>（报价除外）</w:t>
            </w:r>
          </w:p>
        </w:tc>
        <w:tc>
          <w:tcPr>
            <w:tcW w:w="3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w:t>
            </w:r>
          </w:p>
        </w:tc>
        <w:tc>
          <w:tcPr>
            <w:tcW w:w="3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388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30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c>
          <w:tcPr>
            <w:tcW w:w="197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center"/>
              <w:rPr>
                <w:rFonts w:ascii="宋体" w:hAnsi="宋体" w:cs="宋体"/>
                <w:color w:val="auto"/>
                <w:sz w:val="24"/>
                <w:highlight w:val="none"/>
              </w:rPr>
            </w:pPr>
          </w:p>
        </w:tc>
      </w:tr>
    </w:tbl>
    <w:p>
      <w:pPr>
        <w:spacing w:line="360" w:lineRule="auto"/>
        <w:ind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rPr>
          <w:color w:val="auto"/>
          <w:highlight w:val="none"/>
          <w:lang w:val="zh-CN"/>
        </w:rPr>
      </w:pPr>
      <w:r>
        <w:rPr>
          <w:rFonts w:hint="eastAsia"/>
          <w:color w:val="auto"/>
          <w:highlight w:val="none"/>
          <w:lang w:val="zh-CN"/>
        </w:rPr>
        <w:br w:type="page"/>
      </w:r>
    </w:p>
    <w:p>
      <w:pPr>
        <w:rPr>
          <w:b/>
          <w:bCs/>
          <w:color w:val="auto"/>
          <w:sz w:val="24"/>
          <w:szCs w:val="32"/>
          <w:highlight w:val="none"/>
          <w:lang w:val="zh-CN"/>
        </w:rPr>
      </w:pPr>
      <w:r>
        <w:rPr>
          <w:rFonts w:hint="eastAsia"/>
          <w:b/>
          <w:bCs/>
          <w:color w:val="auto"/>
          <w:sz w:val="24"/>
          <w:szCs w:val="32"/>
          <w:highlight w:val="none"/>
          <w:lang w:val="zh-CN"/>
        </w:rPr>
        <w:t>附件</w:t>
      </w:r>
      <w:r>
        <w:rPr>
          <w:rFonts w:hint="eastAsia"/>
          <w:b/>
          <w:bCs/>
          <w:color w:val="auto"/>
          <w:sz w:val="24"/>
          <w:szCs w:val="32"/>
          <w:highlight w:val="none"/>
        </w:rPr>
        <w:t>四：</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供应商商务技术文件中资信分自评表</w:t>
      </w:r>
      <w:bookmarkEnd w:id="81"/>
    </w:p>
    <w:p>
      <w:pPr>
        <w:snapToGrid w:val="0"/>
        <w:spacing w:before="50"/>
        <w:jc w:val="center"/>
        <w:rPr>
          <w:rFonts w:ascii="宋体" w:hAnsi="宋体" w:cs="宋体"/>
          <w:b/>
          <w:color w:val="auto"/>
          <w:sz w:val="32"/>
          <w:szCs w:val="32"/>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采购编号：</w:t>
      </w:r>
    </w:p>
    <w:tbl>
      <w:tblPr>
        <w:tblStyle w:val="2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2387"/>
        <w:gridCol w:w="1462"/>
        <w:gridCol w:w="2415"/>
        <w:gridCol w:w="1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2387"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资信分内容</w:t>
            </w:r>
          </w:p>
        </w:tc>
        <w:tc>
          <w:tcPr>
            <w:tcW w:w="146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自评得分</w:t>
            </w:r>
          </w:p>
        </w:tc>
        <w:tc>
          <w:tcPr>
            <w:tcW w:w="2415" w:type="dxa"/>
            <w:tcBorders>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响应文件对应资料</w:t>
            </w:r>
          </w:p>
        </w:tc>
        <w:tc>
          <w:tcPr>
            <w:tcW w:w="1746" w:type="dxa"/>
            <w:tcBorders>
              <w:lef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响应文件页码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2</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3</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4</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5</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6</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7</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8</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982"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合计</w:t>
            </w:r>
          </w:p>
        </w:tc>
        <w:tc>
          <w:tcPr>
            <w:tcW w:w="2387" w:type="dxa"/>
          </w:tcPr>
          <w:p>
            <w:pPr>
              <w:jc w:val="center"/>
              <w:rPr>
                <w:rFonts w:ascii="宋体" w:hAnsi="宋体" w:cs="宋体"/>
                <w:color w:val="auto"/>
                <w:sz w:val="24"/>
                <w:highlight w:val="none"/>
              </w:rPr>
            </w:pPr>
          </w:p>
        </w:tc>
        <w:tc>
          <w:tcPr>
            <w:tcW w:w="1462" w:type="dxa"/>
          </w:tcPr>
          <w:p>
            <w:pPr>
              <w:jc w:val="center"/>
              <w:rPr>
                <w:rFonts w:ascii="宋体" w:hAnsi="宋体" w:cs="宋体"/>
                <w:color w:val="auto"/>
                <w:sz w:val="24"/>
                <w:highlight w:val="none"/>
              </w:rPr>
            </w:pPr>
          </w:p>
        </w:tc>
        <w:tc>
          <w:tcPr>
            <w:tcW w:w="2415" w:type="dxa"/>
            <w:tcBorders>
              <w:right w:val="single" w:color="auto" w:sz="4" w:space="0"/>
            </w:tcBorders>
          </w:tcPr>
          <w:p>
            <w:pPr>
              <w:jc w:val="center"/>
              <w:rPr>
                <w:rFonts w:ascii="宋体" w:hAnsi="宋体" w:cs="宋体"/>
                <w:color w:val="auto"/>
                <w:sz w:val="24"/>
                <w:highlight w:val="none"/>
              </w:rPr>
            </w:pPr>
          </w:p>
        </w:tc>
        <w:tc>
          <w:tcPr>
            <w:tcW w:w="1746" w:type="dxa"/>
            <w:tcBorders>
              <w:left w:val="single" w:color="auto" w:sz="4" w:space="0"/>
            </w:tcBorders>
          </w:tcPr>
          <w:p>
            <w:pPr>
              <w:jc w:val="center"/>
              <w:rPr>
                <w:rFonts w:ascii="宋体" w:hAnsi="宋体" w:cs="宋体"/>
                <w:color w:val="auto"/>
                <w:sz w:val="24"/>
                <w:highlight w:val="none"/>
              </w:rPr>
            </w:pPr>
          </w:p>
        </w:tc>
      </w:tr>
    </w:tbl>
    <w:p>
      <w:pPr>
        <w:spacing w:line="360" w:lineRule="auto"/>
        <w:ind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ind w:firstLine="566"/>
        <w:rPr>
          <w:rFonts w:hint="default" w:cs="宋体"/>
          <w:color w:val="auto"/>
          <w:sz w:val="28"/>
          <w:szCs w:val="28"/>
          <w:highlight w:val="none"/>
        </w:rPr>
      </w:pPr>
    </w:p>
    <w:p>
      <w:pPr>
        <w:snapToGrid w:val="0"/>
        <w:spacing w:before="50" w:afterLines="50"/>
        <w:jc w:val="left"/>
        <w:rPr>
          <w:rFonts w:ascii="宋体" w:hAnsi="宋体" w:cs="宋体"/>
          <w:b/>
          <w:bCs/>
          <w:color w:val="auto"/>
          <w:sz w:val="24"/>
          <w:highlight w:val="none"/>
          <w:lang w:val="zh-CN"/>
        </w:rPr>
      </w:pPr>
      <w:r>
        <w:rPr>
          <w:rFonts w:hint="eastAsia" w:ascii="宋体" w:hAnsi="宋体" w:cs="宋体"/>
          <w:b/>
          <w:bCs/>
          <w:color w:val="auto"/>
          <w:sz w:val="30"/>
          <w:szCs w:val="30"/>
          <w:highlight w:val="none"/>
        </w:rPr>
        <w:br w:type="page"/>
      </w:r>
      <w:r>
        <w:rPr>
          <w:rFonts w:hint="eastAsia" w:ascii="宋体" w:hAnsi="宋体" w:cs="宋体"/>
          <w:b/>
          <w:bCs/>
          <w:color w:val="auto"/>
          <w:sz w:val="24"/>
          <w:highlight w:val="none"/>
          <w:lang w:val="zh-CN"/>
        </w:rPr>
        <w:t>附件五：</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投标项目明细清单</w:t>
      </w: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采购编号：</w:t>
      </w:r>
    </w:p>
    <w:tbl>
      <w:tblPr>
        <w:tblStyle w:val="2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2829"/>
        <w:gridCol w:w="2829"/>
        <w:gridCol w:w="28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序号</w:t>
            </w:r>
          </w:p>
        </w:tc>
        <w:tc>
          <w:tcPr>
            <w:tcW w:w="28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服务内容</w:t>
            </w:r>
          </w:p>
        </w:tc>
        <w:tc>
          <w:tcPr>
            <w:tcW w:w="28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服务人员数量</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工作量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28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28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ind w:left="480" w:hanging="480"/>
              <w:jc w:val="center"/>
              <w:rPr>
                <w:rFonts w:ascii="宋体" w:hAnsi="宋体" w:cs="宋体"/>
                <w:color w:val="auto"/>
                <w:sz w:val="24"/>
                <w:highlight w:val="none"/>
              </w:rPr>
            </w:pP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28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28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ind w:left="480" w:hanging="480"/>
              <w:jc w:val="center"/>
              <w:rPr>
                <w:rFonts w:ascii="宋体" w:hAnsi="宋体" w:cs="宋体"/>
                <w:color w:val="auto"/>
                <w:sz w:val="24"/>
                <w:highlight w:val="none"/>
              </w:rPr>
            </w:pP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bl>
    <w:p>
      <w:pPr>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注：在填写时，如上表不适合本项目的实际情况，可在确保投标明细内容完整的情况下，根据上表格式自行划表填写。</w:t>
      </w:r>
    </w:p>
    <w:p>
      <w:pPr>
        <w:rPr>
          <w:rFonts w:hint="default" w:cs="宋体"/>
          <w:color w:val="auto"/>
          <w:highlight w:val="none"/>
        </w:rPr>
      </w:pPr>
    </w:p>
    <w:p>
      <w:pPr>
        <w:rPr>
          <w:rFonts w:hint="default" w:cs="宋体"/>
          <w:color w:val="auto"/>
          <w:highlight w:val="none"/>
        </w:rPr>
      </w:pPr>
    </w:p>
    <w:p>
      <w:pPr>
        <w:rPr>
          <w:rFonts w:hint="default" w:cs="宋体"/>
          <w:color w:val="auto"/>
          <w:highlight w:val="none"/>
        </w:rPr>
      </w:pPr>
    </w:p>
    <w:p>
      <w:pPr>
        <w:snapToGrid w:val="0"/>
        <w:spacing w:beforeLines="5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snapToGrid w:val="0"/>
        <w:spacing w:before="50" w:after="50"/>
        <w:rPr>
          <w:rFonts w:ascii="宋体" w:hAnsi="宋体" w:cs="宋体"/>
          <w:color w:val="auto"/>
          <w:spacing w:val="20"/>
          <w:sz w:val="24"/>
          <w:highlight w:val="none"/>
        </w:rPr>
      </w:pPr>
    </w:p>
    <w:p>
      <w:pPr>
        <w:snapToGrid w:val="0"/>
        <w:spacing w:before="50" w:after="50"/>
        <w:rPr>
          <w:rFonts w:ascii="宋体" w:hAnsi="宋体" w:cs="宋体"/>
          <w:color w:val="auto"/>
          <w:spacing w:val="20"/>
          <w:sz w:val="30"/>
          <w:szCs w:val="30"/>
          <w:highlight w:val="none"/>
        </w:rPr>
      </w:pPr>
    </w:p>
    <w:p>
      <w:pPr>
        <w:ind w:firstLine="686"/>
        <w:rPr>
          <w:rFonts w:hint="default" w:cs="宋体"/>
          <w:color w:val="auto"/>
          <w:spacing w:val="20"/>
          <w:sz w:val="30"/>
          <w:szCs w:val="30"/>
          <w:highlight w:val="none"/>
        </w:rPr>
      </w:pPr>
    </w:p>
    <w:p>
      <w:pPr>
        <w:ind w:firstLine="686"/>
        <w:rPr>
          <w:rFonts w:hint="default" w:cs="宋体"/>
          <w:color w:val="auto"/>
          <w:spacing w:val="20"/>
          <w:sz w:val="30"/>
          <w:szCs w:val="30"/>
          <w:highlight w:val="none"/>
        </w:rPr>
      </w:pPr>
    </w:p>
    <w:p>
      <w:pPr>
        <w:ind w:firstLine="686"/>
        <w:rPr>
          <w:rFonts w:hint="default" w:cs="宋体"/>
          <w:color w:val="auto"/>
          <w:spacing w:val="20"/>
          <w:sz w:val="30"/>
          <w:szCs w:val="30"/>
          <w:highlight w:val="none"/>
        </w:rPr>
      </w:pPr>
    </w:p>
    <w:p>
      <w:pPr>
        <w:ind w:firstLine="686"/>
        <w:rPr>
          <w:rFonts w:hint="default" w:cs="宋体"/>
          <w:color w:val="auto"/>
          <w:spacing w:val="20"/>
          <w:sz w:val="30"/>
          <w:szCs w:val="30"/>
          <w:highlight w:val="none"/>
        </w:rPr>
      </w:pPr>
    </w:p>
    <w:p>
      <w:pPr>
        <w:rPr>
          <w:color w:val="auto"/>
          <w:sz w:val="24"/>
          <w:szCs w:val="18"/>
          <w:highlight w:val="none"/>
        </w:rPr>
      </w:pPr>
      <w:bookmarkStart w:id="82" w:name="_Toc2823"/>
      <w:r>
        <w:rPr>
          <w:rFonts w:hint="eastAsia"/>
          <w:color w:val="auto"/>
          <w:sz w:val="24"/>
          <w:szCs w:val="18"/>
          <w:highlight w:val="none"/>
        </w:rPr>
        <w:br w:type="page"/>
      </w:r>
    </w:p>
    <w:p>
      <w:pPr>
        <w:rPr>
          <w:b/>
          <w:bCs/>
          <w:color w:val="auto"/>
          <w:sz w:val="24"/>
          <w:szCs w:val="32"/>
          <w:highlight w:val="none"/>
        </w:rPr>
      </w:pPr>
      <w:r>
        <w:rPr>
          <w:rFonts w:hint="eastAsia"/>
          <w:b/>
          <w:bCs/>
          <w:color w:val="auto"/>
          <w:sz w:val="24"/>
          <w:szCs w:val="32"/>
          <w:highlight w:val="none"/>
        </w:rPr>
        <w:t>附件六：</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技术响应及建议表</w:t>
      </w:r>
      <w:bookmarkEnd w:id="82"/>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采购编号：</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40"/>
        <w:gridCol w:w="1980"/>
        <w:gridCol w:w="2520"/>
        <w:gridCol w:w="1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20" w:type="dxa"/>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序号</w:t>
            </w:r>
          </w:p>
        </w:tc>
        <w:tc>
          <w:tcPr>
            <w:tcW w:w="1440" w:type="dxa"/>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名称</w:t>
            </w:r>
          </w:p>
        </w:tc>
        <w:tc>
          <w:tcPr>
            <w:tcW w:w="1980" w:type="dxa"/>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磋商文件要求</w:t>
            </w:r>
          </w:p>
        </w:tc>
        <w:tc>
          <w:tcPr>
            <w:tcW w:w="2520" w:type="dxa"/>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响应文件响应</w:t>
            </w:r>
          </w:p>
        </w:tc>
        <w:tc>
          <w:tcPr>
            <w:tcW w:w="1953" w:type="dxa"/>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20" w:type="dxa"/>
            <w:vAlign w:val="center"/>
          </w:tcPr>
          <w:p>
            <w:pPr>
              <w:snapToGrid w:val="0"/>
              <w:spacing w:before="50" w:after="50"/>
              <w:jc w:val="center"/>
              <w:rPr>
                <w:rFonts w:ascii="宋体" w:hAnsi="宋体" w:cs="宋体"/>
                <w:color w:val="auto"/>
                <w:sz w:val="24"/>
                <w:highlight w:val="none"/>
              </w:rPr>
            </w:pPr>
          </w:p>
        </w:tc>
        <w:tc>
          <w:tcPr>
            <w:tcW w:w="1440" w:type="dxa"/>
            <w:vAlign w:val="center"/>
          </w:tcPr>
          <w:p>
            <w:pPr>
              <w:snapToGrid w:val="0"/>
              <w:spacing w:before="50" w:after="50"/>
              <w:jc w:val="center"/>
              <w:rPr>
                <w:rFonts w:ascii="宋体" w:hAnsi="宋体" w:cs="宋体"/>
                <w:color w:val="auto"/>
                <w:sz w:val="24"/>
                <w:highlight w:val="none"/>
              </w:rPr>
            </w:pPr>
          </w:p>
        </w:tc>
        <w:tc>
          <w:tcPr>
            <w:tcW w:w="1980" w:type="dxa"/>
            <w:vAlign w:val="center"/>
          </w:tcPr>
          <w:p>
            <w:pPr>
              <w:snapToGrid w:val="0"/>
              <w:spacing w:before="50" w:after="50"/>
              <w:jc w:val="center"/>
              <w:rPr>
                <w:rFonts w:ascii="宋体" w:hAnsi="宋体" w:cs="宋体"/>
                <w:color w:val="auto"/>
                <w:sz w:val="24"/>
                <w:highlight w:val="none"/>
              </w:rPr>
            </w:pPr>
          </w:p>
        </w:tc>
        <w:tc>
          <w:tcPr>
            <w:tcW w:w="2520" w:type="dxa"/>
            <w:vAlign w:val="center"/>
          </w:tcPr>
          <w:p>
            <w:pPr>
              <w:snapToGrid w:val="0"/>
              <w:spacing w:before="50" w:after="50"/>
              <w:jc w:val="center"/>
              <w:rPr>
                <w:rFonts w:ascii="宋体" w:hAnsi="宋体" w:cs="宋体"/>
                <w:color w:val="auto"/>
                <w:sz w:val="24"/>
                <w:highlight w:val="none"/>
              </w:rPr>
            </w:pPr>
          </w:p>
        </w:tc>
        <w:tc>
          <w:tcPr>
            <w:tcW w:w="1953" w:type="dxa"/>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20" w:type="dxa"/>
            <w:vAlign w:val="center"/>
          </w:tcPr>
          <w:p>
            <w:pPr>
              <w:snapToGrid w:val="0"/>
              <w:spacing w:before="50" w:after="50"/>
              <w:jc w:val="center"/>
              <w:rPr>
                <w:rFonts w:ascii="宋体" w:hAnsi="宋体" w:cs="宋体"/>
                <w:color w:val="auto"/>
                <w:sz w:val="24"/>
                <w:highlight w:val="none"/>
              </w:rPr>
            </w:pPr>
          </w:p>
        </w:tc>
        <w:tc>
          <w:tcPr>
            <w:tcW w:w="1440" w:type="dxa"/>
            <w:vAlign w:val="center"/>
          </w:tcPr>
          <w:p>
            <w:pPr>
              <w:snapToGrid w:val="0"/>
              <w:spacing w:before="50" w:after="50"/>
              <w:jc w:val="center"/>
              <w:rPr>
                <w:rFonts w:ascii="宋体" w:hAnsi="宋体" w:cs="宋体"/>
                <w:color w:val="auto"/>
                <w:sz w:val="24"/>
                <w:highlight w:val="none"/>
              </w:rPr>
            </w:pPr>
          </w:p>
        </w:tc>
        <w:tc>
          <w:tcPr>
            <w:tcW w:w="1980" w:type="dxa"/>
            <w:vAlign w:val="center"/>
          </w:tcPr>
          <w:p>
            <w:pPr>
              <w:snapToGrid w:val="0"/>
              <w:spacing w:before="50" w:after="50"/>
              <w:jc w:val="center"/>
              <w:rPr>
                <w:rFonts w:ascii="宋体" w:hAnsi="宋体" w:cs="宋体"/>
                <w:color w:val="auto"/>
                <w:sz w:val="24"/>
                <w:highlight w:val="none"/>
              </w:rPr>
            </w:pPr>
          </w:p>
        </w:tc>
        <w:tc>
          <w:tcPr>
            <w:tcW w:w="2520" w:type="dxa"/>
            <w:vAlign w:val="center"/>
          </w:tcPr>
          <w:p>
            <w:pPr>
              <w:snapToGrid w:val="0"/>
              <w:spacing w:before="50" w:after="50"/>
              <w:jc w:val="center"/>
              <w:rPr>
                <w:rFonts w:ascii="宋体" w:hAnsi="宋体" w:cs="宋体"/>
                <w:color w:val="auto"/>
                <w:sz w:val="24"/>
                <w:highlight w:val="none"/>
              </w:rPr>
            </w:pPr>
          </w:p>
        </w:tc>
        <w:tc>
          <w:tcPr>
            <w:tcW w:w="1953" w:type="dxa"/>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20" w:type="dxa"/>
            <w:vAlign w:val="center"/>
          </w:tcPr>
          <w:p>
            <w:pPr>
              <w:snapToGrid w:val="0"/>
              <w:spacing w:before="50" w:after="50"/>
              <w:jc w:val="center"/>
              <w:rPr>
                <w:rFonts w:ascii="宋体" w:hAnsi="宋体" w:cs="宋体"/>
                <w:color w:val="auto"/>
                <w:sz w:val="24"/>
                <w:highlight w:val="none"/>
              </w:rPr>
            </w:pPr>
          </w:p>
        </w:tc>
        <w:tc>
          <w:tcPr>
            <w:tcW w:w="1440" w:type="dxa"/>
            <w:vAlign w:val="center"/>
          </w:tcPr>
          <w:p>
            <w:pPr>
              <w:snapToGrid w:val="0"/>
              <w:spacing w:before="50" w:after="50"/>
              <w:jc w:val="center"/>
              <w:rPr>
                <w:rFonts w:ascii="宋体" w:hAnsi="宋体" w:cs="宋体"/>
                <w:color w:val="auto"/>
                <w:sz w:val="24"/>
                <w:highlight w:val="none"/>
              </w:rPr>
            </w:pPr>
          </w:p>
        </w:tc>
        <w:tc>
          <w:tcPr>
            <w:tcW w:w="1980" w:type="dxa"/>
            <w:vAlign w:val="center"/>
          </w:tcPr>
          <w:p>
            <w:pPr>
              <w:snapToGrid w:val="0"/>
              <w:spacing w:before="50" w:after="50"/>
              <w:jc w:val="center"/>
              <w:rPr>
                <w:rFonts w:ascii="宋体" w:hAnsi="宋体" w:cs="宋体"/>
                <w:color w:val="auto"/>
                <w:sz w:val="24"/>
                <w:highlight w:val="none"/>
              </w:rPr>
            </w:pPr>
          </w:p>
        </w:tc>
        <w:tc>
          <w:tcPr>
            <w:tcW w:w="2520" w:type="dxa"/>
            <w:vAlign w:val="center"/>
          </w:tcPr>
          <w:p>
            <w:pPr>
              <w:snapToGrid w:val="0"/>
              <w:spacing w:before="50" w:after="50"/>
              <w:jc w:val="center"/>
              <w:rPr>
                <w:rFonts w:ascii="宋体" w:hAnsi="宋体" w:cs="宋体"/>
                <w:color w:val="auto"/>
                <w:sz w:val="24"/>
                <w:highlight w:val="none"/>
              </w:rPr>
            </w:pPr>
          </w:p>
        </w:tc>
        <w:tc>
          <w:tcPr>
            <w:tcW w:w="1953" w:type="dxa"/>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20" w:type="dxa"/>
            <w:vAlign w:val="center"/>
          </w:tcPr>
          <w:p>
            <w:pPr>
              <w:snapToGrid w:val="0"/>
              <w:spacing w:before="50" w:after="50"/>
              <w:jc w:val="center"/>
              <w:rPr>
                <w:rFonts w:ascii="宋体" w:hAnsi="宋体" w:cs="宋体"/>
                <w:color w:val="auto"/>
                <w:sz w:val="24"/>
                <w:highlight w:val="none"/>
              </w:rPr>
            </w:pPr>
          </w:p>
        </w:tc>
        <w:tc>
          <w:tcPr>
            <w:tcW w:w="1440" w:type="dxa"/>
            <w:vAlign w:val="center"/>
          </w:tcPr>
          <w:p>
            <w:pPr>
              <w:snapToGrid w:val="0"/>
              <w:spacing w:before="50" w:after="50"/>
              <w:jc w:val="center"/>
              <w:rPr>
                <w:rFonts w:ascii="宋体" w:hAnsi="宋体" w:cs="宋体"/>
                <w:color w:val="auto"/>
                <w:sz w:val="24"/>
                <w:highlight w:val="none"/>
              </w:rPr>
            </w:pPr>
          </w:p>
        </w:tc>
        <w:tc>
          <w:tcPr>
            <w:tcW w:w="1980" w:type="dxa"/>
            <w:vAlign w:val="center"/>
          </w:tcPr>
          <w:p>
            <w:pPr>
              <w:snapToGrid w:val="0"/>
              <w:spacing w:before="50" w:after="50"/>
              <w:jc w:val="center"/>
              <w:rPr>
                <w:rFonts w:ascii="宋体" w:hAnsi="宋体" w:cs="宋体"/>
                <w:color w:val="auto"/>
                <w:sz w:val="24"/>
                <w:highlight w:val="none"/>
              </w:rPr>
            </w:pPr>
          </w:p>
        </w:tc>
        <w:tc>
          <w:tcPr>
            <w:tcW w:w="2520" w:type="dxa"/>
            <w:vAlign w:val="center"/>
          </w:tcPr>
          <w:p>
            <w:pPr>
              <w:snapToGrid w:val="0"/>
              <w:spacing w:before="50" w:after="50"/>
              <w:jc w:val="center"/>
              <w:rPr>
                <w:rFonts w:ascii="宋体" w:hAnsi="宋体" w:cs="宋体"/>
                <w:color w:val="auto"/>
                <w:sz w:val="24"/>
                <w:highlight w:val="none"/>
              </w:rPr>
            </w:pPr>
          </w:p>
        </w:tc>
        <w:tc>
          <w:tcPr>
            <w:tcW w:w="1953" w:type="dxa"/>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20" w:type="dxa"/>
            <w:vAlign w:val="center"/>
          </w:tcPr>
          <w:p>
            <w:pPr>
              <w:snapToGrid w:val="0"/>
              <w:spacing w:before="50" w:after="50"/>
              <w:jc w:val="center"/>
              <w:rPr>
                <w:rFonts w:ascii="宋体" w:hAnsi="宋体" w:cs="宋体"/>
                <w:color w:val="auto"/>
                <w:sz w:val="24"/>
                <w:highlight w:val="none"/>
              </w:rPr>
            </w:pPr>
          </w:p>
        </w:tc>
        <w:tc>
          <w:tcPr>
            <w:tcW w:w="1440" w:type="dxa"/>
            <w:vAlign w:val="center"/>
          </w:tcPr>
          <w:p>
            <w:pPr>
              <w:snapToGrid w:val="0"/>
              <w:spacing w:before="50" w:after="50"/>
              <w:jc w:val="center"/>
              <w:rPr>
                <w:rFonts w:ascii="宋体" w:hAnsi="宋体" w:cs="宋体"/>
                <w:color w:val="auto"/>
                <w:sz w:val="24"/>
                <w:highlight w:val="none"/>
              </w:rPr>
            </w:pPr>
          </w:p>
        </w:tc>
        <w:tc>
          <w:tcPr>
            <w:tcW w:w="1980" w:type="dxa"/>
            <w:vAlign w:val="center"/>
          </w:tcPr>
          <w:p>
            <w:pPr>
              <w:snapToGrid w:val="0"/>
              <w:spacing w:before="50" w:after="50"/>
              <w:jc w:val="center"/>
              <w:rPr>
                <w:rFonts w:ascii="宋体" w:hAnsi="宋体" w:cs="宋体"/>
                <w:color w:val="auto"/>
                <w:sz w:val="24"/>
                <w:highlight w:val="none"/>
              </w:rPr>
            </w:pPr>
          </w:p>
        </w:tc>
        <w:tc>
          <w:tcPr>
            <w:tcW w:w="2520" w:type="dxa"/>
            <w:vAlign w:val="center"/>
          </w:tcPr>
          <w:p>
            <w:pPr>
              <w:snapToGrid w:val="0"/>
              <w:spacing w:before="50" w:after="50"/>
              <w:jc w:val="center"/>
              <w:rPr>
                <w:rFonts w:ascii="宋体" w:hAnsi="宋体" w:cs="宋体"/>
                <w:color w:val="auto"/>
                <w:sz w:val="24"/>
                <w:highlight w:val="none"/>
              </w:rPr>
            </w:pPr>
          </w:p>
        </w:tc>
        <w:tc>
          <w:tcPr>
            <w:tcW w:w="1953" w:type="dxa"/>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2160" w:type="dxa"/>
            <w:gridSpan w:val="2"/>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投标建议</w:t>
            </w:r>
          </w:p>
        </w:tc>
        <w:tc>
          <w:tcPr>
            <w:tcW w:w="6453" w:type="dxa"/>
            <w:gridSpan w:val="3"/>
            <w:vAlign w:val="center"/>
          </w:tcPr>
          <w:p>
            <w:pPr>
              <w:spacing w:line="360" w:lineRule="auto"/>
              <w:jc w:val="center"/>
              <w:rPr>
                <w:rFonts w:ascii="宋体" w:hAnsi="宋体" w:cs="宋体"/>
                <w:color w:val="auto"/>
                <w:sz w:val="24"/>
                <w:highlight w:val="none"/>
              </w:rPr>
            </w:pPr>
          </w:p>
        </w:tc>
      </w:tr>
    </w:tbl>
    <w:p>
      <w:pPr>
        <w:snapToGrid w:val="0"/>
        <w:spacing w:line="360" w:lineRule="auto"/>
        <w:rPr>
          <w:rFonts w:ascii="宋体" w:hAnsi="宋体" w:cs="宋体"/>
          <w:color w:val="auto"/>
          <w:sz w:val="24"/>
          <w:highlight w:val="none"/>
        </w:rPr>
      </w:pPr>
    </w:p>
    <w:p>
      <w:pPr>
        <w:pStyle w:val="14"/>
        <w:spacing w:line="360" w:lineRule="auto"/>
        <w:rPr>
          <w:rFonts w:hAnsi="宋体" w:cs="宋体"/>
          <w:color w:val="auto"/>
          <w:sz w:val="24"/>
          <w:highlight w:val="none"/>
        </w:rPr>
      </w:pPr>
      <w:r>
        <w:rPr>
          <w:rFonts w:hint="eastAsia" w:hAnsi="宋体" w:cs="宋体"/>
          <w:color w:val="auto"/>
          <w:sz w:val="24"/>
          <w:highlight w:val="none"/>
        </w:rPr>
        <w:t>注：名称可基于项目清单根据供应商实际情况调整。</w:t>
      </w:r>
    </w:p>
    <w:p>
      <w:pPr>
        <w:rPr>
          <w:rFonts w:ascii="宋体" w:hAnsi="宋体" w:cs="宋体"/>
          <w:color w:val="auto"/>
          <w:sz w:val="24"/>
          <w:highlight w:val="none"/>
        </w:rPr>
      </w:pPr>
    </w:p>
    <w:p>
      <w:pPr>
        <w:rPr>
          <w:rFonts w:hint="default"/>
          <w:color w:val="auto"/>
          <w:highlight w:val="none"/>
        </w:rPr>
      </w:pPr>
    </w:p>
    <w:p>
      <w:pPr>
        <w:snapToGrid w:val="0"/>
        <w:spacing w:line="360" w:lineRule="auto"/>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rPr>
          <w:color w:val="auto"/>
          <w:sz w:val="24"/>
          <w:szCs w:val="18"/>
          <w:highlight w:val="none"/>
        </w:rPr>
      </w:pPr>
      <w:r>
        <w:rPr>
          <w:rFonts w:hint="eastAsia"/>
          <w:color w:val="auto"/>
          <w:sz w:val="24"/>
          <w:szCs w:val="18"/>
          <w:highlight w:val="none"/>
        </w:rPr>
        <w:br w:type="page"/>
      </w:r>
    </w:p>
    <w:p>
      <w:pPr>
        <w:rPr>
          <w:b/>
          <w:bCs/>
          <w:color w:val="auto"/>
          <w:sz w:val="24"/>
          <w:szCs w:val="32"/>
          <w:highlight w:val="none"/>
        </w:rPr>
      </w:pPr>
      <w:r>
        <w:rPr>
          <w:rFonts w:hint="eastAsia"/>
          <w:b/>
          <w:bCs/>
          <w:color w:val="auto"/>
          <w:sz w:val="24"/>
          <w:szCs w:val="32"/>
          <w:highlight w:val="none"/>
        </w:rPr>
        <w:t>附件七：</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商务响应表</w:t>
      </w:r>
    </w:p>
    <w:p>
      <w:pPr>
        <w:snapToGrid w:val="0"/>
        <w:spacing w:before="50"/>
        <w:jc w:val="center"/>
        <w:rPr>
          <w:rFonts w:ascii="宋体" w:hAnsi="宋体" w:cs="宋体"/>
          <w:b/>
          <w:color w:val="auto"/>
          <w:sz w:val="32"/>
          <w:szCs w:val="32"/>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采购编号：</w:t>
      </w:r>
    </w:p>
    <w:tbl>
      <w:tblPr>
        <w:tblStyle w:val="2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54"/>
        <w:gridCol w:w="2700"/>
        <w:gridCol w:w="1260"/>
        <w:gridCol w:w="30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项目</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磋商文件要求</w:t>
            </w: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是否</w:t>
            </w:r>
          </w:p>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响应</w:t>
            </w: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供应商的承诺或说明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服务时间及地点</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付款条件</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违约责任及争议解决方式</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项目维护计划</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售后服务响应情况</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本地化服务</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技术培训</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公司技术力量情况</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经验或业绩要求</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各类证书</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w:t>
            </w:r>
          </w:p>
        </w:tc>
        <w:tc>
          <w:tcPr>
            <w:tcW w:w="27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c>
          <w:tcPr>
            <w:tcW w:w="302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p>
        </w:tc>
      </w:tr>
    </w:tbl>
    <w:p>
      <w:pPr>
        <w:spacing w:line="360" w:lineRule="auto"/>
        <w:ind w:left="3780" w:leftChars="1800"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snapToGrid w:val="0"/>
        <w:spacing w:before="50" w:after="50"/>
        <w:rPr>
          <w:rFonts w:ascii="宋体" w:hAnsi="宋体" w:cs="宋体"/>
          <w:b/>
          <w:bCs/>
          <w:color w:val="auto"/>
          <w:sz w:val="24"/>
          <w:highlight w:val="none"/>
          <w:lang w:val="zh-CN"/>
        </w:rPr>
      </w:pPr>
      <w:r>
        <w:rPr>
          <w:rFonts w:hint="eastAsia" w:ascii="宋体" w:hAnsi="宋体" w:cs="宋体"/>
          <w:color w:val="auto"/>
          <w:sz w:val="24"/>
          <w:highlight w:val="none"/>
        </w:rPr>
        <w:br w:type="page"/>
      </w:r>
      <w:r>
        <w:rPr>
          <w:rFonts w:hint="eastAsia" w:ascii="宋体" w:hAnsi="宋体" w:cs="宋体"/>
          <w:b/>
          <w:bCs/>
          <w:color w:val="auto"/>
          <w:sz w:val="24"/>
          <w:highlight w:val="none"/>
          <w:lang w:val="zh-CN"/>
        </w:rPr>
        <w:t>附件八：</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项目组人员清单</w:t>
      </w:r>
    </w:p>
    <w:p>
      <w:pPr>
        <w:snapToGrid w:val="0"/>
        <w:spacing w:beforeLines="50" w:after="50"/>
        <w:jc w:val="center"/>
        <w:rPr>
          <w:rFonts w:ascii="宋体" w:hAnsi="宋体" w:cs="宋体"/>
          <w:b/>
          <w:color w:val="auto"/>
          <w:sz w:val="30"/>
          <w:szCs w:val="30"/>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采购编号：</w:t>
      </w:r>
    </w:p>
    <w:tbl>
      <w:tblPr>
        <w:tblStyle w:val="2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4"/>
        <w:gridCol w:w="1004"/>
        <w:gridCol w:w="1663"/>
        <w:gridCol w:w="1260"/>
        <w:gridCol w:w="1800"/>
        <w:gridCol w:w="18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姓名</w:t>
            </w: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职务</w:t>
            </w:r>
          </w:p>
        </w:tc>
        <w:tc>
          <w:tcPr>
            <w:tcW w:w="1663"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专业技术资格</w:t>
            </w: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证书编号</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参加本单位工作时间</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ascii="宋体" w:hAnsi="宋体" w:cs="宋体"/>
                <w:color w:val="auto"/>
                <w:sz w:val="24"/>
                <w:highlight w:val="none"/>
              </w:rPr>
            </w:pPr>
            <w:r>
              <w:rPr>
                <w:rFonts w:hint="eastAsia" w:ascii="宋体" w:hAnsi="宋体" w:cs="宋体"/>
                <w:color w:val="auto"/>
                <w:sz w:val="24"/>
                <w:highlight w:val="none"/>
              </w:rPr>
              <w:t>劳动合同编号或所在单位工号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pStyle w:val="15"/>
              <w:snapToGrid w:val="0"/>
              <w:spacing w:beforeLines="50" w:after="50" w:line="460" w:lineRule="exact"/>
              <w:ind w:left="5250"/>
              <w:rPr>
                <w:rFonts w:cs="宋体"/>
                <w:color w:val="auto"/>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Lines="50" w:after="50" w:line="460" w:lineRule="exact"/>
              <w:rPr>
                <w:rFonts w:ascii="宋体" w:hAnsi="宋体" w:cs="宋体"/>
                <w:color w:val="auto"/>
                <w:sz w:val="24"/>
                <w:highlight w:val="none"/>
              </w:rPr>
            </w:pPr>
          </w:p>
        </w:tc>
      </w:tr>
    </w:tbl>
    <w:p>
      <w:pPr>
        <w:adjustRightInd w:val="0"/>
        <w:snapToGrid w:val="0"/>
        <w:spacing w:line="360" w:lineRule="auto"/>
        <w:jc w:val="left"/>
        <w:rPr>
          <w:rFonts w:ascii="宋体" w:hAnsi="宋体" w:cs="宋体"/>
          <w:color w:val="auto"/>
          <w:sz w:val="24"/>
          <w:highlight w:val="none"/>
        </w:rPr>
      </w:pP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注：在填写时，如本表格不适合投标单位的实际情况，可根据本表格式自行划表填写。 </w:t>
      </w:r>
    </w:p>
    <w:p>
      <w:pPr>
        <w:snapToGrid w:val="0"/>
        <w:spacing w:before="50" w:afterLines="50" w:line="460" w:lineRule="exact"/>
        <w:jc w:val="left"/>
        <w:rPr>
          <w:rFonts w:ascii="宋体" w:hAnsi="宋体" w:cs="宋体"/>
          <w:color w:val="auto"/>
          <w:sz w:val="24"/>
          <w:highlight w:val="none"/>
        </w:rPr>
      </w:pPr>
    </w:p>
    <w:p>
      <w:pPr>
        <w:rPr>
          <w:rFonts w:hint="default"/>
          <w:color w:val="auto"/>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spacing w:line="360" w:lineRule="auto"/>
        <w:jc w:val="center"/>
        <w:rPr>
          <w:rFonts w:ascii="宋体" w:hAnsi="宋体" w:cs="宋体"/>
          <w:b/>
          <w:color w:val="auto"/>
          <w:kern w:val="0"/>
          <w:sz w:val="36"/>
          <w:szCs w:val="36"/>
          <w:highlight w:val="none"/>
        </w:rPr>
      </w:pPr>
      <w:r>
        <w:rPr>
          <w:rFonts w:hint="eastAsia" w:ascii="宋体" w:hAnsi="宋体" w:cs="宋体"/>
          <w:color w:val="auto"/>
          <w:spacing w:val="20"/>
          <w:sz w:val="30"/>
          <w:szCs w:val="30"/>
          <w:highlight w:val="none"/>
        </w:rPr>
        <w:br w:type="page"/>
      </w:r>
      <w:r>
        <w:rPr>
          <w:rFonts w:hint="eastAsia" w:ascii="宋体" w:hAnsi="宋体" w:cs="宋体"/>
          <w:b/>
          <w:color w:val="auto"/>
          <w:kern w:val="0"/>
          <w:sz w:val="36"/>
          <w:szCs w:val="36"/>
          <w:highlight w:val="none"/>
        </w:rPr>
        <w:t>报价文件</w:t>
      </w:r>
    </w:p>
    <w:p>
      <w:pPr>
        <w:spacing w:line="360" w:lineRule="auto"/>
        <w:jc w:val="center"/>
        <w:rPr>
          <w:rFonts w:ascii="宋体" w:hAnsi="宋体" w:cs="宋体"/>
          <w:b/>
          <w:color w:val="auto"/>
          <w:kern w:val="0"/>
          <w:sz w:val="36"/>
          <w:szCs w:val="36"/>
          <w:highlight w:val="none"/>
        </w:rPr>
      </w:pPr>
    </w:p>
    <w:p>
      <w:pPr>
        <w:spacing w:line="360" w:lineRule="auto"/>
        <w:jc w:val="cente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ind w:firstLine="723"/>
        <w:rPr>
          <w:rFonts w:hint="default" w:cs="宋体"/>
          <w:b/>
          <w:color w:val="auto"/>
          <w:kern w:val="0"/>
          <w:sz w:val="36"/>
          <w:szCs w:val="36"/>
          <w:highlight w:val="none"/>
        </w:rPr>
      </w:pP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（1）磋商函（格式见附件）；</w:t>
      </w: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（2）报价一览表（格式见附件）；</w:t>
      </w: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（3）磋商报价明细表（格式见附件）；</w:t>
      </w: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（4）二次报价表</w:t>
      </w:r>
      <w:r>
        <w:rPr>
          <w:rFonts w:hint="eastAsia" w:ascii="宋体" w:hAnsi="宋体" w:cs="宋体"/>
          <w:b/>
          <w:bCs/>
          <w:color w:val="auto"/>
          <w:sz w:val="24"/>
          <w:szCs w:val="32"/>
          <w:highlight w:val="none"/>
        </w:rPr>
        <w:t>（此表无需在制作竞争性磋商响应文件时填写，作为磋商过程后二次报价时填写。最终报价由各磋商供应商在规定的时间内在政采云平台在线完成；政采云平台在线报价操作失败的，供应商应及时联系采购代理机构。）</w:t>
      </w: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（5）中小企业声明函(如有)（格式见附件）；</w:t>
      </w: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（6）残疾人福利性单位声明函(如有)（格式见附件）；</w:t>
      </w:r>
    </w:p>
    <w:p>
      <w:pPr>
        <w:spacing w:line="360" w:lineRule="auto"/>
        <w:rPr>
          <w:rFonts w:ascii="宋体" w:hAnsi="宋体" w:cs="宋体"/>
          <w:color w:val="auto"/>
          <w:sz w:val="24"/>
          <w:szCs w:val="32"/>
          <w:highlight w:val="none"/>
        </w:rPr>
      </w:pPr>
      <w:r>
        <w:rPr>
          <w:rFonts w:hint="eastAsia" w:ascii="宋体" w:hAnsi="宋体" w:cs="宋体"/>
          <w:color w:val="auto"/>
          <w:sz w:val="24"/>
          <w:szCs w:val="32"/>
          <w:highlight w:val="none"/>
        </w:rPr>
        <w:t>（7）监狱企业证明文件(如有)（格式见附件）。</w:t>
      </w:r>
    </w:p>
    <w:p>
      <w:pPr>
        <w:rPr>
          <w:rFonts w:ascii="宋体" w:hAnsi="宋体" w:cs="宋体"/>
          <w:color w:val="auto"/>
          <w:highlight w:val="none"/>
        </w:rPr>
      </w:pPr>
    </w:p>
    <w:p>
      <w:pPr>
        <w:rPr>
          <w:rFonts w:ascii="宋体" w:hAnsi="宋体" w:cs="宋体"/>
          <w:color w:val="auto"/>
          <w:highlight w:val="none"/>
        </w:rPr>
      </w:pPr>
      <w:r>
        <w:rPr>
          <w:rFonts w:hint="eastAsia" w:ascii="宋体" w:hAnsi="宋体" w:cs="宋体"/>
          <w:color w:val="auto"/>
          <w:highlight w:val="none"/>
        </w:rPr>
        <w:br w:type="page"/>
      </w:r>
    </w:p>
    <w:p>
      <w:pPr>
        <w:rPr>
          <w:rFonts w:ascii="宋体" w:hAnsi="宋体" w:cs="宋体"/>
          <w:b/>
          <w:bCs/>
          <w:color w:val="auto"/>
          <w:highlight w:val="none"/>
          <w:lang w:val="zh-CN"/>
        </w:rPr>
      </w:pPr>
      <w:bookmarkStart w:id="83" w:name="_Toc3094"/>
      <w:r>
        <w:rPr>
          <w:rFonts w:hint="eastAsia"/>
          <w:b/>
          <w:bCs/>
          <w:color w:val="auto"/>
          <w:sz w:val="24"/>
          <w:szCs w:val="32"/>
          <w:highlight w:val="none"/>
          <w:lang w:val="zh-CN"/>
        </w:rPr>
        <w:t>附件</w:t>
      </w:r>
      <w:bookmarkStart w:id="84" w:name="_Toc130094924"/>
      <w:bookmarkStart w:id="85" w:name="_Toc98731770"/>
      <w:r>
        <w:rPr>
          <w:rFonts w:hint="eastAsia"/>
          <w:b/>
          <w:bCs/>
          <w:color w:val="auto"/>
          <w:sz w:val="24"/>
          <w:szCs w:val="32"/>
          <w:highlight w:val="none"/>
        </w:rPr>
        <w:t>九：</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磋 商 函</w:t>
      </w:r>
      <w:bookmarkEnd w:id="83"/>
      <w:bookmarkEnd w:id="84"/>
      <w:bookmarkEnd w:id="85"/>
    </w:p>
    <w:p>
      <w:pPr>
        <w:spacing w:line="360" w:lineRule="auto"/>
        <w:ind w:firstLine="480" w:firstLineChars="200"/>
        <w:rPr>
          <w:rFonts w:ascii="宋体" w:hAnsi="宋体" w:cs="宋体"/>
          <w:color w:val="auto"/>
          <w:sz w:val="24"/>
          <w:highlight w:val="none"/>
          <w:u w:val="singl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绍兴市上虞区</w:t>
      </w:r>
      <w:r>
        <w:rPr>
          <w:rFonts w:hint="eastAsia" w:ascii="宋体" w:hAnsi="宋体" w:cs="宋体"/>
          <w:color w:val="auto"/>
          <w:sz w:val="24"/>
          <w:highlight w:val="none"/>
          <w:lang w:val="en-US" w:eastAsia="zh-CN"/>
        </w:rPr>
        <w:t>应急管理局</w:t>
      </w:r>
      <w:r>
        <w:rPr>
          <w:rFonts w:hint="eastAsia" w:ascii="宋体" w:hAnsi="宋体" w:cs="宋体"/>
          <w:color w:val="auto"/>
          <w:sz w:val="24"/>
          <w:highlight w:val="none"/>
        </w:rPr>
        <w:t>：</w:t>
      </w:r>
    </w:p>
    <w:p>
      <w:pPr>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我单位认真研究了关于的磋商文件，包括修改文件（如有的话）以及全部参考资料和有关附件。我们完全理解并接受磋商文件的各项规定和要求，对磋商文件的合理性、合法性不再有异议。如磋商文件前后有矛盾的，我方完全同意按贵方的理解处理。我单位承诺：</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ascii="宋体" w:hAnsi="宋体" w:cs="宋体"/>
          <w:color w:val="auto"/>
          <w:sz w:val="24"/>
          <w:highlight w:val="none"/>
        </w:rPr>
        <w:pict>
          <v:line id="_x0000_s1027" o:spid="_x0000_s1027" o:spt="20" style="position:absolute;left:0pt;margin-left:9pt;margin-top:39pt;height:0pt;width:0.05pt;z-index:251658240;mso-width-relative:page;mso-height-relative:page;" filled="f" stroked="t" coordsize="21600,21600" o:allowincell="f">
            <v:path arrowok="t"/>
            <v:fill on="f" focussize="0,0"/>
            <v:stroke color="#000000"/>
            <v:imagedata o:title=""/>
            <o:lock v:ext="edit" aspectratio="f"/>
          </v:line>
        </w:pict>
      </w:r>
      <w:r>
        <w:rPr>
          <w:rFonts w:hint="eastAsia" w:ascii="宋体" w:hAnsi="宋体" w:cs="宋体"/>
          <w:color w:val="auto"/>
          <w:sz w:val="24"/>
          <w:highlight w:val="none"/>
        </w:rPr>
        <w:t>1、一旦我单位中标，我单位愿意承接报价一览表中所列的技术服务，服务期为：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2、我单位同意提供按照</w:t>
      </w:r>
      <w:r>
        <w:rPr>
          <w:rFonts w:hint="eastAsia" w:ascii="宋体" w:hAnsi="宋体" w:cs="宋体"/>
          <w:bCs/>
          <w:color w:val="auto"/>
          <w:sz w:val="24"/>
          <w:highlight w:val="none"/>
        </w:rPr>
        <w:t>采购人的可能要求与其投标有关的一切数据和资料，完全理解采购人不一定要接受最低价者作为成交供应商</w:t>
      </w:r>
      <w:r>
        <w:rPr>
          <w:rFonts w:hint="eastAsia"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3、一旦我单位中标，我们保证按照磋商文件的要求，完成服务。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4、如果我单位中标，我方将按照要求提交履约保证金，严格履行合同义务。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5、除非另行达成协议并生效，你方的成交通知书和本磋商函将构成约束你我双方的合同。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6、我单位承诺，一旦发生磋商文件第二部分第11条规定情形之一的，承担该条款约定的责任。</w:t>
      </w:r>
    </w:p>
    <w:p>
      <w:pPr>
        <w:pStyle w:val="14"/>
        <w:snapToGrid w:val="0"/>
        <w:spacing w:line="360" w:lineRule="auto"/>
        <w:ind w:left="480"/>
        <w:jc w:val="left"/>
        <w:rPr>
          <w:rFonts w:hAnsi="宋体" w:cs="宋体"/>
          <w:color w:val="auto"/>
          <w:sz w:val="24"/>
          <w:highlight w:val="none"/>
        </w:rPr>
      </w:pPr>
    </w:p>
    <w:p>
      <w:pPr>
        <w:spacing w:line="360" w:lineRule="auto"/>
        <w:ind w:firstLine="480" w:firstLineChars="200"/>
        <w:rPr>
          <w:rFonts w:ascii="宋体" w:hAnsi="宋体" w:cs="宋体"/>
          <w:bCs/>
          <w:color w:val="auto"/>
          <w:sz w:val="24"/>
          <w:szCs w:val="21"/>
          <w:highlight w:val="none"/>
        </w:rPr>
      </w:pPr>
      <w:r>
        <w:rPr>
          <w:rFonts w:hint="eastAsia" w:ascii="宋体" w:hAnsi="宋体" w:cs="宋体"/>
          <w:bCs/>
          <w:color w:val="auto"/>
          <w:sz w:val="24"/>
          <w:szCs w:val="21"/>
          <w:highlight w:val="none"/>
        </w:rPr>
        <w:t>地址：邮编：</w:t>
      </w:r>
    </w:p>
    <w:p>
      <w:pPr>
        <w:spacing w:line="360" w:lineRule="auto"/>
        <w:ind w:firstLine="480" w:firstLineChars="200"/>
        <w:rPr>
          <w:rFonts w:ascii="宋体" w:hAnsi="宋体" w:cs="宋体"/>
          <w:bCs/>
          <w:color w:val="auto"/>
          <w:sz w:val="24"/>
          <w:szCs w:val="21"/>
          <w:highlight w:val="none"/>
          <w:u w:val="single"/>
        </w:rPr>
      </w:pPr>
      <w:r>
        <w:rPr>
          <w:rFonts w:hint="eastAsia" w:ascii="宋体" w:hAnsi="宋体" w:cs="宋体"/>
          <w:bCs/>
          <w:color w:val="auto"/>
          <w:sz w:val="24"/>
          <w:szCs w:val="21"/>
          <w:highlight w:val="none"/>
        </w:rPr>
        <w:t>电话：传真：</w:t>
      </w:r>
    </w:p>
    <w:p>
      <w:pPr>
        <w:spacing w:line="360" w:lineRule="auto"/>
        <w:ind w:firstLine="480" w:firstLineChars="200"/>
        <w:rPr>
          <w:rFonts w:ascii="宋体" w:hAnsi="宋体" w:cs="宋体"/>
          <w:bCs/>
          <w:color w:val="auto"/>
          <w:sz w:val="24"/>
          <w:szCs w:val="21"/>
          <w:highlight w:val="none"/>
        </w:rPr>
      </w:pPr>
      <w:r>
        <w:rPr>
          <w:rFonts w:hint="eastAsia" w:ascii="宋体" w:hAnsi="宋体" w:cs="宋体"/>
          <w:bCs/>
          <w:color w:val="auto"/>
          <w:sz w:val="24"/>
          <w:szCs w:val="21"/>
          <w:highlight w:val="none"/>
        </w:rPr>
        <w:t>供应商代表姓名：职务：</w:t>
      </w:r>
    </w:p>
    <w:p>
      <w:pPr>
        <w:spacing w:line="360" w:lineRule="auto"/>
        <w:ind w:firstLine="480" w:firstLineChars="200"/>
        <w:rPr>
          <w:rFonts w:ascii="宋体" w:hAnsi="宋体" w:cs="宋体"/>
          <w:bCs/>
          <w:color w:val="auto"/>
          <w:sz w:val="24"/>
          <w:szCs w:val="21"/>
          <w:highlight w:val="none"/>
        </w:rPr>
      </w:pPr>
      <w:r>
        <w:rPr>
          <w:rFonts w:hint="eastAsia" w:ascii="宋体" w:hAnsi="宋体" w:cs="宋体"/>
          <w:bCs/>
          <w:color w:val="auto"/>
          <w:sz w:val="24"/>
          <w:szCs w:val="21"/>
          <w:highlight w:val="none"/>
        </w:rPr>
        <w:t>供应商名称</w:t>
      </w:r>
      <w:r>
        <w:rPr>
          <w:rFonts w:hint="eastAsia" w:ascii="宋体" w:hAnsi="宋体" w:cs="宋体"/>
          <w:bCs/>
          <w:color w:val="auto"/>
          <w:sz w:val="24"/>
          <w:szCs w:val="21"/>
          <w:highlight w:val="none"/>
          <w:u w:val="single"/>
        </w:rPr>
        <w:t>：                   　　　</w:t>
      </w:r>
    </w:p>
    <w:p>
      <w:pPr>
        <w:spacing w:line="360" w:lineRule="auto"/>
        <w:ind w:firstLine="480" w:firstLineChars="200"/>
        <w:rPr>
          <w:rFonts w:ascii="宋体" w:hAnsi="宋体" w:cs="宋体"/>
          <w:bCs/>
          <w:color w:val="auto"/>
          <w:sz w:val="24"/>
          <w:szCs w:val="21"/>
          <w:highlight w:val="none"/>
        </w:rPr>
      </w:pPr>
      <w:r>
        <w:rPr>
          <w:rFonts w:hint="eastAsia" w:ascii="宋体" w:hAnsi="宋体" w:cs="宋体"/>
          <w:bCs/>
          <w:color w:val="auto"/>
          <w:sz w:val="24"/>
          <w:szCs w:val="21"/>
          <w:highlight w:val="none"/>
        </w:rPr>
        <w:t xml:space="preserve">（公章）：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firstLine="5280" w:firstLineChars="2200"/>
        <w:rPr>
          <w:rFonts w:ascii="宋体" w:hAnsi="宋体" w:cs="宋体"/>
          <w:bCs/>
          <w:color w:val="auto"/>
          <w:sz w:val="24"/>
          <w:szCs w:val="21"/>
          <w:highlight w:val="none"/>
        </w:rPr>
      </w:pPr>
    </w:p>
    <w:p>
      <w:pPr>
        <w:rPr>
          <w:color w:val="auto"/>
          <w:sz w:val="24"/>
          <w:szCs w:val="18"/>
          <w:highlight w:val="none"/>
          <w:lang w:val="zh-CN"/>
        </w:rPr>
      </w:pPr>
      <w:bookmarkStart w:id="86" w:name="_Toc12011"/>
      <w:r>
        <w:rPr>
          <w:rFonts w:hint="eastAsia"/>
          <w:color w:val="auto"/>
          <w:sz w:val="24"/>
          <w:szCs w:val="18"/>
          <w:highlight w:val="none"/>
          <w:lang w:val="zh-CN"/>
        </w:rPr>
        <w:br w:type="page"/>
      </w:r>
    </w:p>
    <w:p>
      <w:pPr>
        <w:rPr>
          <w:b/>
          <w:bCs/>
          <w:color w:val="auto"/>
          <w:sz w:val="24"/>
          <w:szCs w:val="32"/>
          <w:highlight w:val="none"/>
          <w:lang w:val="zh-CN"/>
        </w:rPr>
      </w:pPr>
      <w:r>
        <w:rPr>
          <w:rFonts w:hint="eastAsia"/>
          <w:b/>
          <w:bCs/>
          <w:color w:val="auto"/>
          <w:sz w:val="24"/>
          <w:szCs w:val="32"/>
          <w:highlight w:val="none"/>
          <w:lang w:val="zh-CN"/>
        </w:rPr>
        <w:t>附件</w:t>
      </w:r>
      <w:bookmarkStart w:id="87" w:name="_Toc130094925"/>
      <w:bookmarkStart w:id="88" w:name="_Toc98731771"/>
      <w:r>
        <w:rPr>
          <w:rFonts w:hint="eastAsia"/>
          <w:b/>
          <w:bCs/>
          <w:color w:val="auto"/>
          <w:sz w:val="24"/>
          <w:szCs w:val="32"/>
          <w:highlight w:val="none"/>
        </w:rPr>
        <w:t>十：</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报价一览表</w:t>
      </w:r>
      <w:bookmarkEnd w:id="86"/>
      <w:bookmarkEnd w:id="87"/>
      <w:bookmarkEnd w:id="88"/>
    </w:p>
    <w:p>
      <w:pPr>
        <w:pStyle w:val="14"/>
        <w:spacing w:line="360" w:lineRule="auto"/>
        <w:rPr>
          <w:rFonts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采购编号：               </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6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9" w:hRule="atLeast"/>
          <w:jc w:val="center"/>
        </w:trPr>
        <w:tc>
          <w:tcPr>
            <w:tcW w:w="2089" w:type="dxa"/>
            <w:vAlign w:val="center"/>
          </w:tcPr>
          <w:p>
            <w:pPr>
              <w:pStyle w:val="14"/>
              <w:spacing w:line="360" w:lineRule="auto"/>
              <w:jc w:val="center"/>
              <w:rPr>
                <w:rFonts w:hAnsi="宋体" w:cs="宋体"/>
                <w:b/>
                <w:bCs/>
                <w:color w:val="auto"/>
                <w:sz w:val="24"/>
                <w:highlight w:val="none"/>
              </w:rPr>
            </w:pPr>
            <w:r>
              <w:rPr>
                <w:rFonts w:hint="eastAsia" w:hAnsi="宋体" w:cs="宋体"/>
                <w:b/>
                <w:bCs/>
                <w:color w:val="auto"/>
                <w:sz w:val="24"/>
                <w:highlight w:val="none"/>
              </w:rPr>
              <w:t>投标总价</w:t>
            </w:r>
          </w:p>
        </w:tc>
        <w:tc>
          <w:tcPr>
            <w:tcW w:w="6707" w:type="dxa"/>
            <w:vAlign w:val="center"/>
          </w:tcPr>
          <w:p>
            <w:pPr>
              <w:pStyle w:val="14"/>
              <w:spacing w:line="360" w:lineRule="auto"/>
              <w:jc w:val="center"/>
              <w:rPr>
                <w:rFonts w:hAnsi="宋体" w:cs="宋体"/>
                <w:b/>
                <w:bCs/>
                <w:color w:val="auto"/>
                <w:sz w:val="24"/>
                <w:highlight w:val="none"/>
              </w:rPr>
            </w:pPr>
            <w:r>
              <w:rPr>
                <w:rFonts w:hint="eastAsia" w:hAnsi="宋体" w:cs="宋体"/>
                <w:b/>
                <w:bCs/>
                <w:color w:val="auto"/>
                <w:sz w:val="24"/>
                <w:highlight w:val="none"/>
              </w:rPr>
              <w:t>大写：</w:t>
            </w:r>
            <w:r>
              <w:rPr>
                <w:rFonts w:hint="eastAsia" w:hAnsi="宋体" w:cs="宋体"/>
                <w:b/>
                <w:bCs/>
                <w:color w:val="auto"/>
                <w:sz w:val="24"/>
                <w:highlight w:val="none"/>
                <w:u w:val="single"/>
              </w:rPr>
              <w:t xml:space="preserve">　　　　            </w:t>
            </w:r>
            <w:r>
              <w:rPr>
                <w:rFonts w:hint="eastAsia" w:hAnsi="宋体" w:cs="宋体"/>
                <w:b/>
                <w:bCs/>
                <w:color w:val="auto"/>
                <w:sz w:val="24"/>
                <w:highlight w:val="none"/>
              </w:rPr>
              <w:t>元（小写：</w:t>
            </w:r>
            <w:r>
              <w:rPr>
                <w:rFonts w:hint="eastAsia" w:hAnsi="宋体" w:cs="宋体"/>
                <w:b/>
                <w:bCs/>
                <w:color w:val="auto"/>
                <w:sz w:val="24"/>
                <w:highlight w:val="none"/>
                <w:u w:val="single"/>
              </w:rPr>
              <w:t xml:space="preserve">　　　　 </w:t>
            </w:r>
            <w:r>
              <w:rPr>
                <w:rFonts w:hint="eastAsia" w:hAnsi="宋体" w:cs="宋体"/>
                <w:b/>
                <w:bCs/>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8" w:hRule="atLeast"/>
          <w:jc w:val="center"/>
        </w:trPr>
        <w:tc>
          <w:tcPr>
            <w:tcW w:w="8796" w:type="dxa"/>
            <w:gridSpan w:val="2"/>
            <w:vAlign w:val="center"/>
          </w:tcPr>
          <w:p>
            <w:pPr>
              <w:pStyle w:val="14"/>
              <w:spacing w:line="360" w:lineRule="auto"/>
              <w:ind w:firstLine="482" w:firstLineChars="200"/>
              <w:rPr>
                <w:rFonts w:hAnsi="宋体" w:cs="宋体"/>
                <w:b/>
                <w:bCs/>
                <w:color w:val="auto"/>
                <w:sz w:val="24"/>
                <w:highlight w:val="none"/>
              </w:rPr>
            </w:pPr>
            <w:r>
              <w:rPr>
                <w:rFonts w:hint="eastAsia" w:hAnsi="宋体" w:cs="宋体"/>
                <w:b/>
                <w:bCs/>
                <w:color w:val="auto"/>
                <w:sz w:val="24"/>
                <w:highlight w:val="none"/>
              </w:rPr>
              <w:t>本次报价应包含项目所需全部服务，不得缺漏，是履行合同的最终价格（包括本项目所需方案编制费，向政府及行业部门交纳各种税费及规费，以及本项目过程中的论证会、专家评审会、方案对接会等会议所需的所有相关费用。</w:t>
            </w:r>
          </w:p>
        </w:tc>
      </w:tr>
    </w:tbl>
    <w:p>
      <w:pPr>
        <w:pStyle w:val="14"/>
        <w:spacing w:line="360" w:lineRule="auto"/>
        <w:rPr>
          <w:rFonts w:hAnsi="宋体" w:cs="宋体"/>
          <w:color w:val="auto"/>
          <w:sz w:val="24"/>
          <w:highlight w:val="none"/>
        </w:rPr>
      </w:pPr>
    </w:p>
    <w:p>
      <w:pPr>
        <w:pStyle w:val="14"/>
        <w:spacing w:line="360" w:lineRule="auto"/>
        <w:rPr>
          <w:rFonts w:hAnsi="宋体" w:cs="宋体"/>
          <w:color w:val="auto"/>
          <w:sz w:val="24"/>
          <w:highlight w:val="none"/>
        </w:rPr>
      </w:pPr>
    </w:p>
    <w:p>
      <w:pPr>
        <w:pStyle w:val="14"/>
        <w:spacing w:line="360" w:lineRule="auto"/>
        <w:rPr>
          <w:rFonts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snapToGrid w:val="0"/>
        <w:spacing w:line="360" w:lineRule="auto"/>
        <w:ind w:firstLine="435"/>
        <w:rPr>
          <w:rFonts w:ascii="宋体" w:hAnsi="宋体" w:cs="宋体"/>
          <w:color w:val="auto"/>
          <w:highlight w:val="none"/>
        </w:rPr>
      </w:pPr>
    </w:p>
    <w:p>
      <w:pPr>
        <w:snapToGrid w:val="0"/>
        <w:spacing w:line="360" w:lineRule="auto"/>
        <w:ind w:firstLine="435"/>
        <w:rPr>
          <w:rFonts w:ascii="宋体" w:hAnsi="宋体" w:cs="宋体"/>
          <w:color w:val="auto"/>
          <w:highlight w:val="none"/>
        </w:rPr>
      </w:pPr>
    </w:p>
    <w:p>
      <w:pPr>
        <w:snapToGrid w:val="0"/>
        <w:spacing w:line="360" w:lineRule="auto"/>
        <w:ind w:firstLine="435"/>
        <w:rPr>
          <w:rFonts w:ascii="宋体" w:hAnsi="宋体" w:cs="宋体"/>
          <w:color w:val="auto"/>
          <w:highlight w:val="none"/>
        </w:rPr>
      </w:pPr>
    </w:p>
    <w:p>
      <w:pPr>
        <w:snapToGrid w:val="0"/>
        <w:spacing w:line="360" w:lineRule="auto"/>
        <w:ind w:firstLine="435"/>
        <w:rPr>
          <w:rFonts w:ascii="宋体" w:hAnsi="宋体" w:cs="宋体"/>
          <w:color w:val="auto"/>
          <w:highlight w:val="none"/>
        </w:rPr>
      </w:pPr>
    </w:p>
    <w:p>
      <w:pPr>
        <w:snapToGrid w:val="0"/>
        <w:spacing w:line="360" w:lineRule="auto"/>
        <w:ind w:firstLine="435"/>
        <w:rPr>
          <w:rFonts w:ascii="宋体" w:hAnsi="宋体" w:cs="宋体"/>
          <w:color w:val="auto"/>
          <w:highlight w:val="none"/>
        </w:rPr>
      </w:pPr>
    </w:p>
    <w:p>
      <w:pPr>
        <w:spacing w:line="360" w:lineRule="auto"/>
        <w:jc w:val="left"/>
        <w:rPr>
          <w:rFonts w:ascii="宋体" w:hAnsi="宋体" w:cs="宋体"/>
          <w:b/>
          <w:bCs/>
          <w:color w:val="auto"/>
          <w:sz w:val="24"/>
          <w:highlight w:val="none"/>
          <w:lang w:val="zh-CN"/>
        </w:rPr>
      </w:pPr>
      <w:r>
        <w:rPr>
          <w:rFonts w:hint="eastAsia" w:ascii="宋体" w:hAnsi="宋体" w:cs="宋体"/>
          <w:color w:val="auto"/>
          <w:highlight w:val="none"/>
        </w:rPr>
        <w:br w:type="page"/>
      </w:r>
      <w:bookmarkStart w:id="89" w:name="_Toc7196"/>
      <w:r>
        <w:rPr>
          <w:rFonts w:hint="eastAsia" w:ascii="宋体" w:hAnsi="宋体" w:cs="宋体"/>
          <w:b/>
          <w:bCs/>
          <w:color w:val="auto"/>
          <w:sz w:val="24"/>
          <w:highlight w:val="none"/>
          <w:lang w:val="zh-CN"/>
        </w:rPr>
        <w:t>附件十</w:t>
      </w:r>
      <w:r>
        <w:rPr>
          <w:rFonts w:hint="eastAsia" w:hAnsi="宋体" w:cs="宋体"/>
          <w:b/>
          <w:bCs/>
          <w:color w:val="auto"/>
          <w:sz w:val="24"/>
          <w:highlight w:val="none"/>
          <w:lang w:val="zh-CN"/>
        </w:rPr>
        <w:t>一</w:t>
      </w:r>
      <w:r>
        <w:rPr>
          <w:rFonts w:hint="eastAsia" w:ascii="宋体" w:hAnsi="宋体" w:cs="宋体"/>
          <w:b/>
          <w:bCs/>
          <w:color w:val="auto"/>
          <w:sz w:val="24"/>
          <w:highlight w:val="none"/>
          <w:lang w:val="zh-CN"/>
        </w:rPr>
        <w:t>：</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磋商报价明细表</w:t>
      </w:r>
    </w:p>
    <w:p>
      <w:pPr>
        <w:pStyle w:val="14"/>
        <w:spacing w:line="360" w:lineRule="auto"/>
        <w:rPr>
          <w:rFonts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采购编号：               </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80"/>
        <w:gridCol w:w="2284"/>
        <w:gridCol w:w="1490"/>
        <w:gridCol w:w="720"/>
        <w:gridCol w:w="648"/>
        <w:gridCol w:w="1147"/>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40" w:type="dxa"/>
            <w:vMerge w:val="restart"/>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序</w:t>
            </w:r>
          </w:p>
          <w:p>
            <w:pPr>
              <w:pStyle w:val="14"/>
              <w:spacing w:line="360" w:lineRule="auto"/>
              <w:jc w:val="center"/>
              <w:rPr>
                <w:rFonts w:hAnsi="宋体" w:cs="宋体"/>
                <w:color w:val="auto"/>
                <w:sz w:val="24"/>
                <w:highlight w:val="none"/>
              </w:rPr>
            </w:pPr>
            <w:r>
              <w:rPr>
                <w:rFonts w:hint="eastAsia" w:hAnsi="宋体" w:cs="宋体"/>
                <w:color w:val="auto"/>
                <w:sz w:val="24"/>
                <w:highlight w:val="none"/>
              </w:rPr>
              <w:t>号</w:t>
            </w:r>
          </w:p>
        </w:tc>
        <w:tc>
          <w:tcPr>
            <w:tcW w:w="1080" w:type="dxa"/>
            <w:vMerge w:val="restart"/>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名称</w:t>
            </w:r>
          </w:p>
        </w:tc>
        <w:tc>
          <w:tcPr>
            <w:tcW w:w="2284" w:type="dxa"/>
            <w:vMerge w:val="restart"/>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内容</w:t>
            </w:r>
          </w:p>
        </w:tc>
        <w:tc>
          <w:tcPr>
            <w:tcW w:w="1490" w:type="dxa"/>
            <w:vMerge w:val="restart"/>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其他</w:t>
            </w:r>
          </w:p>
        </w:tc>
        <w:tc>
          <w:tcPr>
            <w:tcW w:w="720" w:type="dxa"/>
            <w:vMerge w:val="restart"/>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单</w:t>
            </w:r>
          </w:p>
          <w:p>
            <w:pPr>
              <w:pStyle w:val="14"/>
              <w:spacing w:line="360" w:lineRule="auto"/>
              <w:jc w:val="center"/>
              <w:rPr>
                <w:rFonts w:hAnsi="宋体" w:cs="宋体"/>
                <w:color w:val="auto"/>
                <w:highlight w:val="none"/>
              </w:rPr>
            </w:pPr>
            <w:r>
              <w:rPr>
                <w:rFonts w:hint="eastAsia" w:hAnsi="宋体" w:cs="宋体"/>
                <w:color w:val="auto"/>
                <w:sz w:val="24"/>
                <w:highlight w:val="none"/>
              </w:rPr>
              <w:t>位</w:t>
            </w:r>
          </w:p>
        </w:tc>
        <w:tc>
          <w:tcPr>
            <w:tcW w:w="648" w:type="dxa"/>
            <w:vMerge w:val="restart"/>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数量</w:t>
            </w:r>
          </w:p>
        </w:tc>
        <w:tc>
          <w:tcPr>
            <w:tcW w:w="2270" w:type="dxa"/>
            <w:gridSpan w:val="2"/>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投标报价（元）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40" w:type="dxa"/>
            <w:vMerge w:val="continue"/>
            <w:vAlign w:val="center"/>
          </w:tcPr>
          <w:p>
            <w:pPr>
              <w:pStyle w:val="14"/>
              <w:spacing w:line="360" w:lineRule="auto"/>
              <w:jc w:val="center"/>
              <w:rPr>
                <w:rFonts w:hAnsi="宋体" w:cs="宋体"/>
                <w:color w:val="auto"/>
                <w:sz w:val="24"/>
                <w:highlight w:val="none"/>
              </w:rPr>
            </w:pPr>
          </w:p>
        </w:tc>
        <w:tc>
          <w:tcPr>
            <w:tcW w:w="1080" w:type="dxa"/>
            <w:vMerge w:val="continue"/>
            <w:vAlign w:val="center"/>
          </w:tcPr>
          <w:p>
            <w:pPr>
              <w:pStyle w:val="14"/>
              <w:spacing w:line="360" w:lineRule="auto"/>
              <w:jc w:val="center"/>
              <w:rPr>
                <w:rFonts w:hAnsi="宋体" w:cs="宋体"/>
                <w:color w:val="auto"/>
                <w:sz w:val="24"/>
                <w:highlight w:val="none"/>
              </w:rPr>
            </w:pPr>
          </w:p>
        </w:tc>
        <w:tc>
          <w:tcPr>
            <w:tcW w:w="2284" w:type="dxa"/>
            <w:vMerge w:val="continue"/>
            <w:vAlign w:val="center"/>
          </w:tcPr>
          <w:p>
            <w:pPr>
              <w:pStyle w:val="14"/>
              <w:spacing w:line="360" w:lineRule="auto"/>
              <w:jc w:val="center"/>
              <w:rPr>
                <w:rFonts w:hAnsi="宋体" w:cs="宋体"/>
                <w:color w:val="auto"/>
                <w:sz w:val="24"/>
                <w:highlight w:val="none"/>
              </w:rPr>
            </w:pPr>
          </w:p>
        </w:tc>
        <w:tc>
          <w:tcPr>
            <w:tcW w:w="1490" w:type="dxa"/>
            <w:vMerge w:val="continue"/>
            <w:vAlign w:val="center"/>
          </w:tcPr>
          <w:p>
            <w:pPr>
              <w:pStyle w:val="14"/>
              <w:spacing w:line="360" w:lineRule="auto"/>
              <w:jc w:val="center"/>
              <w:rPr>
                <w:rFonts w:hAnsi="宋体" w:cs="宋体"/>
                <w:color w:val="auto"/>
                <w:sz w:val="24"/>
                <w:highlight w:val="none"/>
              </w:rPr>
            </w:pPr>
          </w:p>
        </w:tc>
        <w:tc>
          <w:tcPr>
            <w:tcW w:w="720" w:type="dxa"/>
            <w:vMerge w:val="continue"/>
            <w:vAlign w:val="center"/>
          </w:tcPr>
          <w:p>
            <w:pPr>
              <w:pStyle w:val="14"/>
              <w:spacing w:line="360" w:lineRule="auto"/>
              <w:jc w:val="center"/>
              <w:rPr>
                <w:rFonts w:hAnsi="宋体" w:cs="宋体"/>
                <w:color w:val="auto"/>
                <w:sz w:val="24"/>
                <w:highlight w:val="none"/>
              </w:rPr>
            </w:pPr>
          </w:p>
        </w:tc>
        <w:tc>
          <w:tcPr>
            <w:tcW w:w="648" w:type="dxa"/>
            <w:vMerge w:val="continue"/>
            <w:vAlign w:val="center"/>
          </w:tcPr>
          <w:p>
            <w:pPr>
              <w:pStyle w:val="14"/>
              <w:spacing w:line="360" w:lineRule="auto"/>
              <w:jc w:val="center"/>
              <w:rPr>
                <w:rFonts w:hAnsi="宋体" w:cs="宋体"/>
                <w:color w:val="auto"/>
                <w:sz w:val="24"/>
                <w:highlight w:val="none"/>
              </w:rPr>
            </w:pPr>
          </w:p>
        </w:tc>
        <w:tc>
          <w:tcPr>
            <w:tcW w:w="1147" w:type="dxa"/>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单价</w:t>
            </w:r>
          </w:p>
        </w:tc>
        <w:tc>
          <w:tcPr>
            <w:tcW w:w="1123" w:type="dxa"/>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40" w:type="dxa"/>
            <w:vAlign w:val="center"/>
          </w:tcPr>
          <w:p>
            <w:pPr>
              <w:pStyle w:val="14"/>
              <w:spacing w:line="360" w:lineRule="auto"/>
              <w:jc w:val="center"/>
              <w:rPr>
                <w:rFonts w:hAnsi="宋体" w:cs="宋体"/>
                <w:b/>
                <w:color w:val="auto"/>
                <w:sz w:val="24"/>
                <w:highlight w:val="none"/>
              </w:rPr>
            </w:pPr>
          </w:p>
        </w:tc>
        <w:tc>
          <w:tcPr>
            <w:tcW w:w="1080" w:type="dxa"/>
            <w:vAlign w:val="center"/>
          </w:tcPr>
          <w:p>
            <w:pPr>
              <w:pStyle w:val="14"/>
              <w:spacing w:line="360" w:lineRule="auto"/>
              <w:rPr>
                <w:rFonts w:hAnsi="宋体" w:cs="宋体"/>
                <w:b/>
                <w:color w:val="auto"/>
                <w:sz w:val="24"/>
                <w:highlight w:val="none"/>
              </w:rPr>
            </w:pPr>
          </w:p>
        </w:tc>
        <w:tc>
          <w:tcPr>
            <w:tcW w:w="2284" w:type="dxa"/>
            <w:vAlign w:val="center"/>
          </w:tcPr>
          <w:p>
            <w:pPr>
              <w:pStyle w:val="14"/>
              <w:spacing w:line="360" w:lineRule="auto"/>
              <w:rPr>
                <w:rFonts w:hAnsi="宋体" w:cs="宋体"/>
                <w:b/>
                <w:color w:val="auto"/>
                <w:sz w:val="24"/>
                <w:highlight w:val="none"/>
              </w:rPr>
            </w:pPr>
          </w:p>
        </w:tc>
        <w:tc>
          <w:tcPr>
            <w:tcW w:w="1490" w:type="dxa"/>
            <w:vAlign w:val="center"/>
          </w:tcPr>
          <w:p>
            <w:pPr>
              <w:pStyle w:val="14"/>
              <w:spacing w:line="360" w:lineRule="auto"/>
              <w:rPr>
                <w:rFonts w:hAnsi="宋体" w:cs="宋体"/>
                <w:b/>
                <w:color w:val="auto"/>
                <w:sz w:val="24"/>
                <w:highlight w:val="none"/>
              </w:rPr>
            </w:pPr>
          </w:p>
        </w:tc>
        <w:tc>
          <w:tcPr>
            <w:tcW w:w="720" w:type="dxa"/>
            <w:vAlign w:val="center"/>
          </w:tcPr>
          <w:p>
            <w:pPr>
              <w:pStyle w:val="14"/>
              <w:spacing w:line="360" w:lineRule="auto"/>
              <w:rPr>
                <w:rFonts w:hAnsi="宋体" w:cs="宋体"/>
                <w:b/>
                <w:color w:val="auto"/>
                <w:sz w:val="24"/>
                <w:highlight w:val="none"/>
              </w:rPr>
            </w:pPr>
          </w:p>
        </w:tc>
        <w:tc>
          <w:tcPr>
            <w:tcW w:w="648" w:type="dxa"/>
            <w:vAlign w:val="center"/>
          </w:tcPr>
          <w:p>
            <w:pPr>
              <w:pStyle w:val="14"/>
              <w:spacing w:line="360" w:lineRule="auto"/>
              <w:rPr>
                <w:rFonts w:hAnsi="宋体" w:cs="宋体"/>
                <w:b/>
                <w:color w:val="auto"/>
                <w:sz w:val="24"/>
                <w:highlight w:val="none"/>
              </w:rPr>
            </w:pPr>
          </w:p>
        </w:tc>
        <w:tc>
          <w:tcPr>
            <w:tcW w:w="1147" w:type="dxa"/>
          </w:tcPr>
          <w:p>
            <w:pPr>
              <w:pStyle w:val="14"/>
              <w:spacing w:line="360" w:lineRule="auto"/>
              <w:rPr>
                <w:rFonts w:hAnsi="宋体" w:cs="宋体"/>
                <w:color w:val="auto"/>
                <w:sz w:val="24"/>
                <w:highlight w:val="none"/>
              </w:rPr>
            </w:pPr>
          </w:p>
        </w:tc>
        <w:tc>
          <w:tcPr>
            <w:tcW w:w="1123" w:type="dxa"/>
          </w:tcPr>
          <w:p>
            <w:pPr>
              <w:pStyle w:val="14"/>
              <w:spacing w:line="360" w:lineRule="auto"/>
              <w:rPr>
                <w:rFonts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40" w:type="dxa"/>
            <w:vAlign w:val="center"/>
          </w:tcPr>
          <w:p>
            <w:pPr>
              <w:pStyle w:val="14"/>
              <w:spacing w:line="360" w:lineRule="auto"/>
              <w:jc w:val="center"/>
              <w:rPr>
                <w:rFonts w:hAnsi="宋体" w:cs="宋体"/>
                <w:b/>
                <w:color w:val="auto"/>
                <w:sz w:val="24"/>
                <w:highlight w:val="none"/>
              </w:rPr>
            </w:pPr>
          </w:p>
        </w:tc>
        <w:tc>
          <w:tcPr>
            <w:tcW w:w="1080" w:type="dxa"/>
            <w:vAlign w:val="center"/>
          </w:tcPr>
          <w:p>
            <w:pPr>
              <w:pStyle w:val="14"/>
              <w:spacing w:line="360" w:lineRule="auto"/>
              <w:rPr>
                <w:rFonts w:hAnsi="宋体" w:cs="宋体"/>
                <w:b/>
                <w:color w:val="auto"/>
                <w:sz w:val="24"/>
                <w:highlight w:val="none"/>
              </w:rPr>
            </w:pPr>
          </w:p>
        </w:tc>
        <w:tc>
          <w:tcPr>
            <w:tcW w:w="2284" w:type="dxa"/>
            <w:vAlign w:val="center"/>
          </w:tcPr>
          <w:p>
            <w:pPr>
              <w:pStyle w:val="14"/>
              <w:spacing w:line="360" w:lineRule="auto"/>
              <w:rPr>
                <w:rFonts w:hAnsi="宋体" w:cs="宋体"/>
                <w:b/>
                <w:color w:val="auto"/>
                <w:sz w:val="24"/>
                <w:highlight w:val="none"/>
              </w:rPr>
            </w:pPr>
          </w:p>
        </w:tc>
        <w:tc>
          <w:tcPr>
            <w:tcW w:w="1490" w:type="dxa"/>
            <w:vAlign w:val="center"/>
          </w:tcPr>
          <w:p>
            <w:pPr>
              <w:pStyle w:val="14"/>
              <w:spacing w:line="360" w:lineRule="auto"/>
              <w:rPr>
                <w:rFonts w:hAnsi="宋体" w:cs="宋体"/>
                <w:b/>
                <w:color w:val="auto"/>
                <w:sz w:val="24"/>
                <w:highlight w:val="none"/>
              </w:rPr>
            </w:pPr>
          </w:p>
        </w:tc>
        <w:tc>
          <w:tcPr>
            <w:tcW w:w="720" w:type="dxa"/>
            <w:vAlign w:val="center"/>
          </w:tcPr>
          <w:p>
            <w:pPr>
              <w:pStyle w:val="14"/>
              <w:spacing w:line="360" w:lineRule="auto"/>
              <w:rPr>
                <w:rFonts w:hAnsi="宋体" w:cs="宋体"/>
                <w:b/>
                <w:color w:val="auto"/>
                <w:sz w:val="24"/>
                <w:highlight w:val="none"/>
              </w:rPr>
            </w:pPr>
          </w:p>
        </w:tc>
        <w:tc>
          <w:tcPr>
            <w:tcW w:w="648" w:type="dxa"/>
            <w:vAlign w:val="center"/>
          </w:tcPr>
          <w:p>
            <w:pPr>
              <w:pStyle w:val="14"/>
              <w:spacing w:line="360" w:lineRule="auto"/>
              <w:rPr>
                <w:rFonts w:hAnsi="宋体" w:cs="宋体"/>
                <w:b/>
                <w:color w:val="auto"/>
                <w:sz w:val="24"/>
                <w:highlight w:val="none"/>
              </w:rPr>
            </w:pPr>
          </w:p>
        </w:tc>
        <w:tc>
          <w:tcPr>
            <w:tcW w:w="1147" w:type="dxa"/>
          </w:tcPr>
          <w:p>
            <w:pPr>
              <w:pStyle w:val="14"/>
              <w:spacing w:line="360" w:lineRule="auto"/>
              <w:rPr>
                <w:rFonts w:hAnsi="宋体" w:cs="宋体"/>
                <w:color w:val="auto"/>
                <w:sz w:val="24"/>
                <w:highlight w:val="none"/>
              </w:rPr>
            </w:pPr>
          </w:p>
        </w:tc>
        <w:tc>
          <w:tcPr>
            <w:tcW w:w="1123" w:type="dxa"/>
          </w:tcPr>
          <w:p>
            <w:pPr>
              <w:pStyle w:val="14"/>
              <w:spacing w:line="360" w:lineRule="auto"/>
              <w:rPr>
                <w:rFonts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40" w:type="dxa"/>
            <w:vAlign w:val="center"/>
          </w:tcPr>
          <w:p>
            <w:pPr>
              <w:pStyle w:val="14"/>
              <w:spacing w:line="360" w:lineRule="auto"/>
              <w:jc w:val="center"/>
              <w:rPr>
                <w:rFonts w:hAnsi="宋体" w:cs="宋体"/>
                <w:b/>
                <w:color w:val="auto"/>
                <w:sz w:val="24"/>
                <w:highlight w:val="none"/>
              </w:rPr>
            </w:pPr>
          </w:p>
        </w:tc>
        <w:tc>
          <w:tcPr>
            <w:tcW w:w="1080" w:type="dxa"/>
            <w:vAlign w:val="center"/>
          </w:tcPr>
          <w:p>
            <w:pPr>
              <w:pStyle w:val="14"/>
              <w:spacing w:line="360" w:lineRule="auto"/>
              <w:rPr>
                <w:rFonts w:hAnsi="宋体" w:cs="宋体"/>
                <w:b/>
                <w:color w:val="auto"/>
                <w:sz w:val="24"/>
                <w:highlight w:val="none"/>
              </w:rPr>
            </w:pPr>
          </w:p>
        </w:tc>
        <w:tc>
          <w:tcPr>
            <w:tcW w:w="2284" w:type="dxa"/>
            <w:vAlign w:val="center"/>
          </w:tcPr>
          <w:p>
            <w:pPr>
              <w:pStyle w:val="14"/>
              <w:spacing w:line="360" w:lineRule="auto"/>
              <w:rPr>
                <w:rFonts w:hAnsi="宋体" w:cs="宋体"/>
                <w:b/>
                <w:color w:val="auto"/>
                <w:highlight w:val="none"/>
              </w:rPr>
            </w:pPr>
          </w:p>
        </w:tc>
        <w:tc>
          <w:tcPr>
            <w:tcW w:w="1490" w:type="dxa"/>
            <w:vAlign w:val="center"/>
          </w:tcPr>
          <w:p>
            <w:pPr>
              <w:pStyle w:val="14"/>
              <w:spacing w:line="360" w:lineRule="auto"/>
              <w:rPr>
                <w:rFonts w:hAnsi="宋体" w:cs="宋体"/>
                <w:b/>
                <w:color w:val="auto"/>
                <w:sz w:val="24"/>
                <w:highlight w:val="none"/>
              </w:rPr>
            </w:pPr>
          </w:p>
        </w:tc>
        <w:tc>
          <w:tcPr>
            <w:tcW w:w="720" w:type="dxa"/>
            <w:vAlign w:val="center"/>
          </w:tcPr>
          <w:p>
            <w:pPr>
              <w:pStyle w:val="14"/>
              <w:spacing w:line="360" w:lineRule="auto"/>
              <w:rPr>
                <w:rFonts w:hAnsi="宋体" w:cs="宋体"/>
                <w:b/>
                <w:color w:val="auto"/>
                <w:sz w:val="24"/>
                <w:highlight w:val="none"/>
              </w:rPr>
            </w:pPr>
          </w:p>
        </w:tc>
        <w:tc>
          <w:tcPr>
            <w:tcW w:w="648" w:type="dxa"/>
            <w:vAlign w:val="center"/>
          </w:tcPr>
          <w:p>
            <w:pPr>
              <w:pStyle w:val="14"/>
              <w:spacing w:line="360" w:lineRule="auto"/>
              <w:rPr>
                <w:rFonts w:hAnsi="宋体" w:cs="宋体"/>
                <w:b/>
                <w:color w:val="auto"/>
                <w:sz w:val="24"/>
                <w:highlight w:val="none"/>
              </w:rPr>
            </w:pPr>
          </w:p>
        </w:tc>
        <w:tc>
          <w:tcPr>
            <w:tcW w:w="1147" w:type="dxa"/>
          </w:tcPr>
          <w:p>
            <w:pPr>
              <w:pStyle w:val="14"/>
              <w:spacing w:line="360" w:lineRule="auto"/>
              <w:rPr>
                <w:rFonts w:hAnsi="宋体" w:cs="宋体"/>
                <w:color w:val="auto"/>
                <w:sz w:val="24"/>
                <w:highlight w:val="none"/>
              </w:rPr>
            </w:pPr>
          </w:p>
        </w:tc>
        <w:tc>
          <w:tcPr>
            <w:tcW w:w="1123" w:type="dxa"/>
          </w:tcPr>
          <w:p>
            <w:pPr>
              <w:pStyle w:val="14"/>
              <w:spacing w:line="360" w:lineRule="auto"/>
              <w:rPr>
                <w:rFonts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40" w:type="dxa"/>
          </w:tcPr>
          <w:p>
            <w:pPr>
              <w:pStyle w:val="14"/>
              <w:spacing w:line="360" w:lineRule="auto"/>
              <w:rPr>
                <w:rFonts w:hAnsi="宋体" w:cs="宋体"/>
                <w:color w:val="auto"/>
                <w:sz w:val="24"/>
                <w:highlight w:val="none"/>
              </w:rPr>
            </w:pPr>
          </w:p>
        </w:tc>
        <w:tc>
          <w:tcPr>
            <w:tcW w:w="1080" w:type="dxa"/>
          </w:tcPr>
          <w:p>
            <w:pPr>
              <w:pStyle w:val="14"/>
              <w:spacing w:line="360" w:lineRule="auto"/>
              <w:rPr>
                <w:rFonts w:hAnsi="宋体" w:cs="宋体"/>
                <w:color w:val="auto"/>
                <w:sz w:val="24"/>
                <w:highlight w:val="none"/>
              </w:rPr>
            </w:pPr>
          </w:p>
        </w:tc>
        <w:tc>
          <w:tcPr>
            <w:tcW w:w="2284" w:type="dxa"/>
          </w:tcPr>
          <w:p>
            <w:pPr>
              <w:pStyle w:val="14"/>
              <w:spacing w:line="360" w:lineRule="auto"/>
              <w:rPr>
                <w:rFonts w:hAnsi="宋体" w:cs="宋体"/>
                <w:color w:val="auto"/>
                <w:sz w:val="24"/>
                <w:highlight w:val="none"/>
              </w:rPr>
            </w:pPr>
          </w:p>
        </w:tc>
        <w:tc>
          <w:tcPr>
            <w:tcW w:w="1490" w:type="dxa"/>
          </w:tcPr>
          <w:p>
            <w:pPr>
              <w:pStyle w:val="14"/>
              <w:spacing w:line="360" w:lineRule="auto"/>
              <w:rPr>
                <w:rFonts w:hAnsi="宋体" w:cs="宋体"/>
                <w:color w:val="auto"/>
                <w:sz w:val="24"/>
                <w:highlight w:val="none"/>
              </w:rPr>
            </w:pPr>
          </w:p>
        </w:tc>
        <w:tc>
          <w:tcPr>
            <w:tcW w:w="720" w:type="dxa"/>
          </w:tcPr>
          <w:p>
            <w:pPr>
              <w:pStyle w:val="14"/>
              <w:spacing w:line="360" w:lineRule="auto"/>
              <w:rPr>
                <w:rFonts w:hAnsi="宋体" w:cs="宋体"/>
                <w:color w:val="auto"/>
                <w:sz w:val="24"/>
                <w:highlight w:val="none"/>
              </w:rPr>
            </w:pPr>
          </w:p>
        </w:tc>
        <w:tc>
          <w:tcPr>
            <w:tcW w:w="648" w:type="dxa"/>
          </w:tcPr>
          <w:p>
            <w:pPr>
              <w:pStyle w:val="14"/>
              <w:spacing w:line="360" w:lineRule="auto"/>
              <w:rPr>
                <w:rFonts w:hAnsi="宋体" w:cs="宋体"/>
                <w:color w:val="auto"/>
                <w:sz w:val="24"/>
                <w:highlight w:val="none"/>
              </w:rPr>
            </w:pPr>
          </w:p>
        </w:tc>
        <w:tc>
          <w:tcPr>
            <w:tcW w:w="1147" w:type="dxa"/>
          </w:tcPr>
          <w:p>
            <w:pPr>
              <w:pStyle w:val="14"/>
              <w:spacing w:line="360" w:lineRule="auto"/>
              <w:rPr>
                <w:rFonts w:hAnsi="宋体" w:cs="宋体"/>
                <w:color w:val="auto"/>
                <w:sz w:val="24"/>
                <w:highlight w:val="none"/>
              </w:rPr>
            </w:pPr>
          </w:p>
        </w:tc>
        <w:tc>
          <w:tcPr>
            <w:tcW w:w="1123" w:type="dxa"/>
          </w:tcPr>
          <w:p>
            <w:pPr>
              <w:pStyle w:val="14"/>
              <w:spacing w:line="360" w:lineRule="auto"/>
              <w:rPr>
                <w:rFonts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7" w:hRule="atLeast"/>
          <w:jc w:val="center"/>
        </w:trPr>
        <w:tc>
          <w:tcPr>
            <w:tcW w:w="1620" w:type="dxa"/>
            <w:gridSpan w:val="2"/>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投标总价</w:t>
            </w:r>
          </w:p>
        </w:tc>
        <w:tc>
          <w:tcPr>
            <w:tcW w:w="7412" w:type="dxa"/>
            <w:gridSpan w:val="6"/>
            <w:vAlign w:val="center"/>
          </w:tcPr>
          <w:p>
            <w:pPr>
              <w:pStyle w:val="14"/>
              <w:spacing w:line="360" w:lineRule="auto"/>
              <w:jc w:val="center"/>
              <w:rPr>
                <w:rFonts w:hAnsi="宋体" w:cs="宋体"/>
                <w:color w:val="auto"/>
                <w:sz w:val="24"/>
                <w:highlight w:val="none"/>
              </w:rPr>
            </w:pPr>
            <w:r>
              <w:rPr>
                <w:rFonts w:hint="eastAsia" w:hAnsi="宋体" w:cs="宋体"/>
                <w:color w:val="auto"/>
                <w:sz w:val="24"/>
                <w:highlight w:val="none"/>
              </w:rPr>
              <w:t>大写：　　　　                元（小写：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032" w:type="dxa"/>
            <w:gridSpan w:val="8"/>
          </w:tcPr>
          <w:p>
            <w:pPr>
              <w:pStyle w:val="14"/>
              <w:spacing w:line="360" w:lineRule="auto"/>
              <w:ind w:firstLine="482" w:firstLineChars="200"/>
              <w:rPr>
                <w:rFonts w:hAnsi="宋体" w:cs="宋体"/>
                <w:color w:val="auto"/>
                <w:sz w:val="24"/>
                <w:highlight w:val="none"/>
              </w:rPr>
            </w:pPr>
            <w:r>
              <w:rPr>
                <w:rFonts w:hint="eastAsia" w:hAnsi="宋体" w:cs="宋体"/>
                <w:b/>
                <w:bCs/>
                <w:color w:val="auto"/>
                <w:sz w:val="24"/>
                <w:highlight w:val="none"/>
              </w:rPr>
              <w:t>本次报价应包含项目所需全部服务，不得缺漏，是履行合同的最终价格（包括本项目所需方案编制费，向政府及行业部门交纳各种税费及规费，以及本项目过程中的论证会、专家评审会、方案对接会等会议所需的所有相关费用。</w:t>
            </w:r>
          </w:p>
        </w:tc>
      </w:tr>
    </w:tbl>
    <w:p>
      <w:pPr>
        <w:pStyle w:val="14"/>
        <w:spacing w:line="360" w:lineRule="auto"/>
        <w:ind w:firstLine="480" w:firstLineChars="200"/>
        <w:rPr>
          <w:rFonts w:hAnsi="宋体" w:cs="宋体"/>
          <w:color w:val="auto"/>
          <w:sz w:val="24"/>
          <w:highlight w:val="none"/>
        </w:rPr>
      </w:pPr>
      <w:r>
        <w:rPr>
          <w:rFonts w:hint="eastAsia" w:hAnsi="宋体" w:cs="宋体"/>
          <w:color w:val="auto"/>
          <w:sz w:val="24"/>
          <w:highlight w:val="none"/>
        </w:rPr>
        <w:t>注：内容可根据供应商实际情况自行调整。</w:t>
      </w:r>
    </w:p>
    <w:p>
      <w:pPr>
        <w:pStyle w:val="14"/>
        <w:spacing w:line="360" w:lineRule="auto"/>
        <w:rPr>
          <w:rFonts w:hAnsi="宋体" w:cs="宋体"/>
          <w:color w:val="auto"/>
          <w:sz w:val="24"/>
          <w:highlight w:val="none"/>
        </w:rPr>
      </w:pPr>
    </w:p>
    <w:p>
      <w:pPr>
        <w:pStyle w:val="14"/>
        <w:spacing w:line="360" w:lineRule="auto"/>
        <w:rPr>
          <w:rFonts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pStyle w:val="2"/>
        <w:rPr>
          <w:rFonts w:hAnsi="宋体" w:cs="宋体"/>
          <w:bCs/>
          <w:color w:val="auto"/>
          <w:sz w:val="24"/>
          <w:szCs w:val="24"/>
          <w:highlight w:val="none"/>
          <w:lang w:val="zh-CN"/>
        </w:rPr>
      </w:pPr>
    </w:p>
    <w:p>
      <w:pPr>
        <w:spacing w:line="360" w:lineRule="auto"/>
        <w:jc w:val="center"/>
        <w:rPr>
          <w:rFonts w:ascii="宋体" w:hAnsi="宋体" w:cs="宋体"/>
          <w:b/>
          <w:bCs/>
          <w:color w:val="auto"/>
          <w:sz w:val="32"/>
          <w:szCs w:val="32"/>
          <w:highlight w:val="none"/>
        </w:rPr>
      </w:pPr>
    </w:p>
    <w:p>
      <w:pPr>
        <w:rPr>
          <w:rFonts w:ascii="宋体" w:hAnsi="宋体" w:cs="宋体"/>
          <w:b/>
          <w:bCs/>
          <w:color w:val="auto"/>
          <w:sz w:val="32"/>
          <w:szCs w:val="32"/>
          <w:highlight w:val="none"/>
        </w:rPr>
      </w:pPr>
      <w:r>
        <w:rPr>
          <w:rFonts w:hint="eastAsia" w:ascii="宋体" w:hAnsi="宋体" w:cs="宋体"/>
          <w:b/>
          <w:bCs/>
          <w:color w:val="auto"/>
          <w:sz w:val="32"/>
          <w:szCs w:val="32"/>
          <w:highlight w:val="none"/>
        </w:rPr>
        <w:br w:type="page"/>
      </w:r>
    </w:p>
    <w:p>
      <w:pPr>
        <w:spacing w:line="360" w:lineRule="auto"/>
        <w:jc w:val="left"/>
        <w:rPr>
          <w:rFonts w:ascii="宋体" w:hAnsi="宋体" w:cs="宋体"/>
          <w:b/>
          <w:bCs/>
          <w:color w:val="auto"/>
          <w:sz w:val="32"/>
          <w:szCs w:val="32"/>
          <w:highlight w:val="none"/>
        </w:rPr>
      </w:pPr>
      <w:r>
        <w:rPr>
          <w:rFonts w:hint="eastAsia" w:ascii="宋体" w:hAnsi="宋体" w:cs="宋体"/>
          <w:b/>
          <w:bCs/>
          <w:color w:val="auto"/>
          <w:sz w:val="24"/>
          <w:highlight w:val="none"/>
          <w:lang w:val="zh-CN"/>
        </w:rPr>
        <w:t>附件十</w:t>
      </w:r>
      <w:r>
        <w:rPr>
          <w:rFonts w:hint="eastAsia" w:hAnsi="宋体" w:cs="宋体"/>
          <w:b/>
          <w:bCs/>
          <w:color w:val="auto"/>
          <w:sz w:val="24"/>
          <w:highlight w:val="none"/>
        </w:rPr>
        <w:t>二</w:t>
      </w:r>
      <w:r>
        <w:rPr>
          <w:rFonts w:hint="eastAsia" w:ascii="宋体" w:hAnsi="宋体" w:cs="宋体"/>
          <w:b/>
          <w:bCs/>
          <w:color w:val="auto"/>
          <w:sz w:val="24"/>
          <w:highlight w:val="none"/>
          <w:lang w:val="zh-CN"/>
        </w:rPr>
        <w:t>：</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中小企业声明函</w:t>
      </w:r>
    </w:p>
    <w:p>
      <w:pPr>
        <w:widowControl/>
        <w:snapToGrid w:val="0"/>
        <w:spacing w:line="324" w:lineRule="auto"/>
        <w:ind w:firstLine="480" w:firstLineChars="200"/>
        <w:jc w:val="center"/>
        <w:rPr>
          <w:rFonts w:ascii="宋体" w:hAnsi="宋体" w:cs="宋体"/>
          <w:color w:val="auto"/>
          <w:kern w:val="0"/>
          <w:sz w:val="24"/>
          <w:highlight w:val="none"/>
        </w:rPr>
      </w:pPr>
      <w:r>
        <w:rPr>
          <w:rFonts w:hint="eastAsia" w:ascii="宋体" w:hAnsi="宋体" w:cs="宋体"/>
          <w:color w:val="auto"/>
          <w:kern w:val="0"/>
          <w:sz w:val="24"/>
          <w:highlight w:val="none"/>
        </w:rPr>
        <w:t>【不属于中小企业的无需填写、递交】</w:t>
      </w:r>
    </w:p>
    <w:p>
      <w:pPr>
        <w:widowControl/>
        <w:snapToGrid w:val="0"/>
        <w:spacing w:line="324"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本公司郑重声明，根据《政府采购促进中小企业发展暂行办法》（财库[2011]181 号）的规定，本公司为的______（请填写：中型、小型、微型）企业。即，本公司同时满足以下条件：</w:t>
      </w:r>
    </w:p>
    <w:p>
      <w:pPr>
        <w:widowControl/>
        <w:snapToGrid w:val="0"/>
        <w:spacing w:line="324"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根据《工业和信息化部、国家统计局、国家发展和改革委员会、财政部关于印发中小企业划型标准规定的通知》（工信部联企业[2011]300号）规定的划分标准，本公司为______（请填写：中型、小型、微型）企业。</w:t>
      </w:r>
    </w:p>
    <w:p>
      <w:pPr>
        <w:widowControl/>
        <w:snapToGrid w:val="0"/>
        <w:spacing w:line="324"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2、本公司参加______（采购人）的______（项目名称）采购活动提供本企业服务。本公司对上述声明的真实性负责。如有虚假，将依法承担相应责任。</w:t>
      </w:r>
    </w:p>
    <w:p>
      <w:pPr>
        <w:widowControl/>
        <w:snapToGrid w:val="0"/>
        <w:spacing w:line="324" w:lineRule="auto"/>
        <w:ind w:firstLine="480" w:firstLineChars="200"/>
        <w:jc w:val="left"/>
        <w:rPr>
          <w:rFonts w:ascii="宋体" w:hAnsi="宋体" w:cs="宋体"/>
          <w:color w:val="auto"/>
          <w:sz w:val="24"/>
          <w:highlight w:val="none"/>
        </w:rPr>
      </w:pPr>
    </w:p>
    <w:p>
      <w:pPr>
        <w:snapToGrid w:val="0"/>
        <w:spacing w:line="360" w:lineRule="auto"/>
        <w:ind w:right="480"/>
        <w:rPr>
          <w:rFonts w:ascii="宋体" w:hAnsi="宋体" w:cs="宋体"/>
          <w:color w:val="auto"/>
          <w:sz w:val="24"/>
          <w:highlight w:val="none"/>
          <w:lang w:val="zh-CN"/>
        </w:rPr>
      </w:pPr>
      <w:r>
        <w:rPr>
          <w:rFonts w:hint="eastAsia" w:ascii="宋体" w:hAnsi="宋体" w:cs="宋体"/>
          <w:color w:val="auto"/>
          <w:sz w:val="24"/>
          <w:highlight w:val="none"/>
        </w:rPr>
        <w:t>供应商</w:t>
      </w:r>
      <w:r>
        <w:rPr>
          <w:rFonts w:hint="eastAsia" w:ascii="宋体" w:hAnsi="宋体" w:cs="宋体"/>
          <w:color w:val="auto"/>
          <w:sz w:val="24"/>
          <w:highlight w:val="none"/>
          <w:lang w:val="zh-CN"/>
        </w:rPr>
        <w:t xml:space="preserve">名称(公章)：                                        </w:t>
      </w:r>
    </w:p>
    <w:p>
      <w:pPr>
        <w:snapToGrid w:val="0"/>
        <w:spacing w:line="360" w:lineRule="auto"/>
        <w:ind w:right="480"/>
        <w:rPr>
          <w:rFonts w:ascii="宋体" w:hAnsi="宋体" w:cs="宋体"/>
          <w:color w:val="auto"/>
          <w:sz w:val="24"/>
          <w:highlight w:val="none"/>
          <w:lang w:val="zh-CN"/>
        </w:rPr>
      </w:pPr>
      <w:r>
        <w:rPr>
          <w:rFonts w:hint="eastAsia" w:ascii="宋体" w:hAnsi="宋体" w:cs="宋体"/>
          <w:color w:val="auto"/>
          <w:sz w:val="24"/>
          <w:highlight w:val="none"/>
          <w:lang w:val="zh-CN"/>
        </w:rPr>
        <w:t>法定代表人或其授权代表(签字)：</w:t>
      </w:r>
    </w:p>
    <w:p>
      <w:pPr>
        <w:snapToGrid w:val="0"/>
        <w:spacing w:line="360" w:lineRule="auto"/>
        <w:ind w:right="480"/>
        <w:rPr>
          <w:rFonts w:ascii="宋体" w:hAnsi="宋体" w:cs="宋体"/>
          <w:color w:val="auto"/>
          <w:sz w:val="24"/>
          <w:highlight w:val="none"/>
          <w:lang w:val="zh-CN"/>
        </w:rPr>
      </w:pPr>
      <w:r>
        <w:rPr>
          <w:rFonts w:hint="eastAsia" w:ascii="宋体" w:hAnsi="宋体" w:cs="宋体"/>
          <w:color w:val="auto"/>
          <w:sz w:val="24"/>
          <w:highlight w:val="none"/>
          <w:lang w:val="zh-CN"/>
        </w:rPr>
        <w:t>日期：  年  月   日</w:t>
      </w:r>
    </w:p>
    <w:p>
      <w:pPr>
        <w:widowControl/>
        <w:snapToGrid w:val="0"/>
        <w:spacing w:line="324" w:lineRule="auto"/>
        <w:ind w:firstLine="480" w:firstLineChars="200"/>
        <w:jc w:val="left"/>
        <w:rPr>
          <w:rFonts w:ascii="宋体" w:hAnsi="宋体" w:cs="宋体"/>
          <w:color w:val="auto"/>
          <w:sz w:val="24"/>
          <w:highlight w:val="none"/>
        </w:rPr>
      </w:pP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附：</w:t>
      </w:r>
    </w:p>
    <w:p>
      <w:pPr>
        <w:widowControl/>
        <w:snapToGrid w:val="0"/>
        <w:spacing w:line="324"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投标人的小微企业证明（投标截止时间前7日内“国家企业信用信息公示系统—小微企业名录”页面查询结果）</w:t>
      </w:r>
    </w:p>
    <w:p>
      <w:pPr>
        <w:pStyle w:val="2"/>
        <w:spacing w:line="360" w:lineRule="auto"/>
        <w:jc w:val="center"/>
        <w:rPr>
          <w:rFonts w:hAnsi="宋体" w:cs="宋体"/>
          <w:color w:val="auto"/>
          <w:sz w:val="24"/>
          <w:highlight w:val="none"/>
        </w:rPr>
      </w:pPr>
    </w:p>
    <w:p>
      <w:pPr>
        <w:pStyle w:val="2"/>
        <w:spacing w:line="360" w:lineRule="auto"/>
        <w:jc w:val="center"/>
        <w:rPr>
          <w:rFonts w:hAnsi="宋体" w:cs="宋体"/>
          <w:color w:val="auto"/>
          <w:sz w:val="24"/>
          <w:highlight w:val="none"/>
        </w:rPr>
      </w:pPr>
    </w:p>
    <w:p>
      <w:pPr>
        <w:pStyle w:val="2"/>
        <w:widowControl/>
        <w:tabs>
          <w:tab w:val="left" w:pos="432"/>
        </w:tabs>
        <w:spacing w:line="240" w:lineRule="atLeast"/>
        <w:jc w:val="center"/>
        <w:rPr>
          <w:rFonts w:hAnsi="宋体" w:cs="宋体"/>
          <w:color w:val="auto"/>
          <w:szCs w:val="28"/>
          <w:highlight w:val="none"/>
        </w:rPr>
      </w:pPr>
      <w:bookmarkStart w:id="90" w:name="_Toc30916"/>
      <w:bookmarkStart w:id="91" w:name="_Toc2071"/>
      <w:bookmarkStart w:id="92" w:name="_Toc3295"/>
      <w:r>
        <w:rPr>
          <w:rFonts w:hint="eastAsia" w:hAnsi="宋体" w:cs="宋体"/>
          <w:color w:val="auto"/>
          <w:szCs w:val="28"/>
          <w:highlight w:val="none"/>
        </w:rPr>
        <w:br w:type="page"/>
      </w:r>
      <w:bookmarkStart w:id="93" w:name="_Toc24725"/>
      <w:bookmarkStart w:id="94" w:name="_Toc28963"/>
      <w:bookmarkStart w:id="95" w:name="_Toc23920"/>
      <w:bookmarkStart w:id="96" w:name="_Toc27183"/>
      <w:bookmarkStart w:id="97" w:name="_Toc18531"/>
      <w:bookmarkStart w:id="98" w:name="_Toc25238"/>
      <w:bookmarkStart w:id="99" w:name="_Toc26395"/>
      <w:bookmarkStart w:id="100" w:name="_Toc16718"/>
      <w:bookmarkStart w:id="101" w:name="_Toc23448"/>
      <w:bookmarkStart w:id="102" w:name="_Toc7658"/>
      <w:bookmarkStart w:id="103" w:name="_Toc28358"/>
      <w:bookmarkStart w:id="104" w:name="_Toc23422"/>
      <w:r>
        <w:rPr>
          <w:rFonts w:hint="eastAsia" w:hAnsi="宋体" w:cs="宋体"/>
          <w:color w:val="auto"/>
          <w:szCs w:val="28"/>
          <w:highlight w:val="none"/>
        </w:rPr>
        <w:t>“国家企业信用信息公示系统—小微企业名录”页面查询结果</w:t>
      </w:r>
      <w:bookmarkEnd w:id="90"/>
      <w:bookmarkEnd w:id="91"/>
      <w:bookmarkEnd w:id="93"/>
      <w:bookmarkEnd w:id="94"/>
      <w:bookmarkEnd w:id="95"/>
      <w:bookmarkEnd w:id="96"/>
      <w:bookmarkEnd w:id="97"/>
      <w:bookmarkEnd w:id="98"/>
      <w:bookmarkEnd w:id="99"/>
      <w:bookmarkEnd w:id="100"/>
      <w:bookmarkEnd w:id="101"/>
      <w:bookmarkEnd w:id="102"/>
      <w:bookmarkEnd w:id="103"/>
      <w:bookmarkEnd w:id="104"/>
    </w:p>
    <w:p>
      <w:pPr>
        <w:jc w:val="center"/>
        <w:rPr>
          <w:color w:val="auto"/>
          <w:highlight w:val="none"/>
          <w:lang w:val="zh-CN"/>
        </w:rPr>
      </w:pPr>
      <w:bookmarkStart w:id="105" w:name="_Toc13862"/>
      <w:bookmarkStart w:id="106" w:name="_Toc10841"/>
      <w:bookmarkStart w:id="107" w:name="_Toc12380"/>
      <w:bookmarkStart w:id="108" w:name="_Toc27930"/>
      <w:bookmarkStart w:id="109" w:name="_Toc5890"/>
      <w:bookmarkStart w:id="110" w:name="_Toc10256"/>
      <w:bookmarkStart w:id="111" w:name="_Toc4490"/>
      <w:bookmarkStart w:id="112" w:name="_Toc10843"/>
      <w:bookmarkStart w:id="113" w:name="_Toc5367"/>
      <w:bookmarkStart w:id="114" w:name="_Toc31656"/>
      <w:r>
        <w:rPr>
          <w:rFonts w:hint="eastAsia"/>
          <w:b/>
          <w:bCs/>
          <w:color w:val="auto"/>
          <w:sz w:val="28"/>
          <w:highlight w:val="none"/>
        </w:rPr>
        <w:t>（加盖公章）</w:t>
      </w:r>
      <w:bookmarkEnd w:id="92"/>
      <w:bookmarkEnd w:id="105"/>
      <w:bookmarkEnd w:id="106"/>
      <w:bookmarkEnd w:id="107"/>
      <w:bookmarkEnd w:id="108"/>
      <w:bookmarkEnd w:id="109"/>
      <w:bookmarkEnd w:id="110"/>
      <w:bookmarkEnd w:id="111"/>
      <w:bookmarkEnd w:id="112"/>
      <w:bookmarkEnd w:id="113"/>
      <w:bookmarkEnd w:id="114"/>
      <w:r>
        <w:rPr>
          <w:rFonts w:hint="eastAsia"/>
          <w:color w:val="auto"/>
          <w:highlight w:val="none"/>
          <w:lang w:val="zh-CN"/>
        </w:rPr>
        <w:br w:type="page"/>
      </w:r>
    </w:p>
    <w:p>
      <w:pPr>
        <w:rPr>
          <w:rFonts w:ascii="宋体" w:hAnsi="宋体" w:cs="宋体"/>
          <w:b/>
          <w:bCs/>
          <w:color w:val="auto"/>
          <w:sz w:val="24"/>
          <w:szCs w:val="32"/>
          <w:highlight w:val="none"/>
          <w:lang w:val="zh-CN"/>
        </w:rPr>
      </w:pPr>
      <w:r>
        <w:rPr>
          <w:rFonts w:hint="eastAsia"/>
          <w:b/>
          <w:bCs/>
          <w:color w:val="auto"/>
          <w:sz w:val="24"/>
          <w:szCs w:val="32"/>
          <w:highlight w:val="none"/>
          <w:lang w:val="zh-CN"/>
        </w:rPr>
        <w:t>附件</w:t>
      </w:r>
      <w:r>
        <w:rPr>
          <w:rFonts w:hint="eastAsia"/>
          <w:b/>
          <w:bCs/>
          <w:color w:val="auto"/>
          <w:sz w:val="24"/>
          <w:szCs w:val="32"/>
          <w:highlight w:val="none"/>
        </w:rPr>
        <w:t>十三：</w:t>
      </w:r>
    </w:p>
    <w:bookmarkEnd w:id="89"/>
    <w:p>
      <w:pPr>
        <w:spacing w:line="360" w:lineRule="auto"/>
        <w:jc w:val="center"/>
        <w:rPr>
          <w:rFonts w:ascii="宋体" w:hAnsi="宋体" w:cs="宋体"/>
          <w:b/>
          <w:color w:val="auto"/>
          <w:sz w:val="30"/>
          <w:szCs w:val="30"/>
          <w:highlight w:val="none"/>
          <w:lang w:val="en-GB"/>
        </w:rPr>
      </w:pPr>
      <w:bookmarkStart w:id="115" w:name="_Toc9715"/>
      <w:bookmarkStart w:id="116" w:name="_Toc25017"/>
      <w:bookmarkStart w:id="117" w:name="_Toc31472"/>
      <w:bookmarkStart w:id="118" w:name="_Toc16150"/>
      <w:r>
        <w:rPr>
          <w:rFonts w:hint="eastAsia" w:ascii="宋体" w:hAnsi="宋体" w:cs="宋体"/>
          <w:b/>
          <w:color w:val="auto"/>
          <w:sz w:val="30"/>
          <w:szCs w:val="30"/>
          <w:highlight w:val="none"/>
          <w:lang w:val="en-GB"/>
        </w:rPr>
        <w:t>二</w:t>
      </w:r>
      <w:r>
        <w:rPr>
          <w:rFonts w:hint="eastAsia" w:ascii="宋体" w:hAnsi="宋体" w:cs="宋体"/>
          <w:b/>
          <w:color w:val="auto"/>
          <w:sz w:val="30"/>
          <w:szCs w:val="30"/>
          <w:highlight w:val="none"/>
        </w:rPr>
        <w:t>次</w:t>
      </w:r>
      <w:r>
        <w:rPr>
          <w:rFonts w:hint="eastAsia" w:ascii="宋体" w:hAnsi="宋体" w:cs="宋体"/>
          <w:b/>
          <w:color w:val="auto"/>
          <w:sz w:val="30"/>
          <w:szCs w:val="30"/>
          <w:highlight w:val="none"/>
          <w:lang w:val="en-GB"/>
        </w:rPr>
        <w:t>报价表</w:t>
      </w:r>
    </w:p>
    <w:p>
      <w:pPr>
        <w:spacing w:line="360" w:lineRule="auto"/>
        <w:ind w:firstLine="480"/>
        <w:rPr>
          <w:rFonts w:ascii="宋体" w:hAnsi="宋体" w:cs="宋体"/>
          <w:color w:val="auto"/>
          <w:sz w:val="24"/>
          <w:highlight w:val="none"/>
        </w:rPr>
      </w:pPr>
    </w:p>
    <w:p>
      <w:pPr>
        <w:spacing w:line="360" w:lineRule="auto"/>
        <w:rPr>
          <w:rFonts w:ascii="宋体" w:hAnsi="宋体" w:cs="宋体"/>
          <w:color w:val="auto"/>
          <w:sz w:val="24"/>
          <w:highlight w:val="none"/>
          <w:lang w:val="zh-CN"/>
        </w:rPr>
      </w:pPr>
      <w:r>
        <w:rPr>
          <w:rFonts w:hint="eastAsia" w:ascii="宋体" w:hAnsi="宋体" w:cs="宋体"/>
          <w:color w:val="auto"/>
          <w:sz w:val="24"/>
          <w:highlight w:val="none"/>
        </w:rPr>
        <w:t xml:space="preserve">项目名称：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项目编号： </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5"/>
        <w:gridCol w:w="1153"/>
        <w:gridCol w:w="5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trPr>
        <w:tc>
          <w:tcPr>
            <w:tcW w:w="3068" w:type="dxa"/>
            <w:gridSpan w:val="2"/>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项目名称</w:t>
            </w:r>
          </w:p>
        </w:tc>
        <w:tc>
          <w:tcPr>
            <w:tcW w:w="5942" w:type="dxa"/>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1915" w:type="dxa"/>
            <w:vMerge w:val="restart"/>
            <w:tcBorders>
              <w:top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磋商总报价</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人民币（元）</w:t>
            </w:r>
          </w:p>
        </w:tc>
        <w:tc>
          <w:tcPr>
            <w:tcW w:w="1153" w:type="dxa"/>
            <w:tcBorders>
              <w:top w:val="single" w:color="auto" w:sz="4" w:space="0"/>
            </w:tcBorders>
            <w:vAlign w:val="center"/>
          </w:tcPr>
          <w:p>
            <w:pPr>
              <w:spacing w:line="360" w:lineRule="auto"/>
              <w:rPr>
                <w:rFonts w:ascii="宋体" w:hAnsi="宋体" w:cs="宋体"/>
                <w:color w:val="auto"/>
                <w:sz w:val="24"/>
                <w:highlight w:val="none"/>
              </w:rPr>
            </w:pPr>
            <w:r>
              <w:rPr>
                <w:rFonts w:hint="eastAsia" w:ascii="宋体" w:hAnsi="宋体" w:cs="宋体"/>
                <w:color w:val="auto"/>
                <w:sz w:val="24"/>
                <w:highlight w:val="none"/>
              </w:rPr>
              <w:t>小写</w:t>
            </w:r>
          </w:p>
        </w:tc>
        <w:tc>
          <w:tcPr>
            <w:tcW w:w="5942" w:type="dxa"/>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1915" w:type="dxa"/>
            <w:vMerge w:val="continue"/>
            <w:vAlign w:val="center"/>
          </w:tcPr>
          <w:p>
            <w:pPr>
              <w:spacing w:line="360" w:lineRule="auto"/>
              <w:jc w:val="center"/>
              <w:rPr>
                <w:rFonts w:ascii="宋体" w:hAnsi="宋体" w:cs="宋体"/>
                <w:color w:val="auto"/>
                <w:sz w:val="24"/>
                <w:highlight w:val="none"/>
              </w:rPr>
            </w:pPr>
          </w:p>
        </w:tc>
        <w:tc>
          <w:tcPr>
            <w:tcW w:w="1153" w:type="dxa"/>
            <w:vAlign w:val="center"/>
          </w:tcPr>
          <w:p>
            <w:pPr>
              <w:spacing w:line="360" w:lineRule="auto"/>
              <w:rPr>
                <w:rFonts w:ascii="宋体" w:hAnsi="宋体" w:cs="宋体"/>
                <w:color w:val="auto"/>
                <w:sz w:val="24"/>
                <w:highlight w:val="none"/>
              </w:rPr>
            </w:pPr>
            <w:r>
              <w:rPr>
                <w:rFonts w:hint="eastAsia" w:ascii="宋体" w:hAnsi="宋体" w:cs="宋体"/>
                <w:color w:val="auto"/>
                <w:sz w:val="24"/>
                <w:highlight w:val="none"/>
              </w:rPr>
              <w:t>大写</w:t>
            </w:r>
          </w:p>
        </w:tc>
        <w:tc>
          <w:tcPr>
            <w:tcW w:w="5942" w:type="dxa"/>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3068" w:type="dxa"/>
            <w:gridSpan w:val="2"/>
            <w:vAlign w:val="center"/>
          </w:tcPr>
          <w:p>
            <w:pPr>
              <w:adjustRightInd w:val="0"/>
              <w:snapToGrid w:val="0"/>
              <w:spacing w:line="360" w:lineRule="auto"/>
              <w:jc w:val="center"/>
              <w:rPr>
                <w:rFonts w:ascii="宋体" w:hAnsi="宋体" w:cs="宋体"/>
                <w:color w:val="auto"/>
                <w:sz w:val="24"/>
                <w:highlight w:val="none"/>
              </w:rPr>
            </w:pPr>
            <w:r>
              <w:rPr>
                <w:rFonts w:hint="eastAsia" w:ascii="宋体" w:hAnsi="宋体" w:cs="宋体"/>
                <w:b/>
                <w:color w:val="auto"/>
                <w:sz w:val="24"/>
                <w:highlight w:val="none"/>
              </w:rPr>
              <w:t>是否符合小微企业价格扣除政策的情形</w:t>
            </w:r>
          </w:p>
        </w:tc>
        <w:tc>
          <w:tcPr>
            <w:tcW w:w="5942" w:type="dxa"/>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是   □</w:t>
            </w:r>
          </w:p>
          <w:p>
            <w:pPr>
              <w:adjustRightInd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否   □</w:t>
            </w:r>
          </w:p>
        </w:tc>
      </w:tr>
    </w:tbl>
    <w:p>
      <w:pPr>
        <w:tabs>
          <w:tab w:val="left" w:pos="900"/>
        </w:tabs>
        <w:spacing w:line="360" w:lineRule="auto"/>
        <w:ind w:firstLine="480"/>
        <w:rPr>
          <w:rFonts w:ascii="宋体" w:hAnsi="宋体" w:cs="宋体"/>
          <w:color w:val="auto"/>
          <w:sz w:val="24"/>
          <w:highlight w:val="none"/>
        </w:rPr>
      </w:pPr>
    </w:p>
    <w:p>
      <w:pPr>
        <w:tabs>
          <w:tab w:val="left" w:pos="900"/>
        </w:tabs>
        <w:spacing w:line="360" w:lineRule="auto"/>
        <w:ind w:firstLine="480"/>
        <w:rPr>
          <w:rFonts w:ascii="宋体" w:hAnsi="宋体" w:cs="宋体"/>
          <w:color w:val="auto"/>
          <w:sz w:val="24"/>
          <w:highlight w:val="none"/>
        </w:rPr>
      </w:pPr>
      <w:r>
        <w:rPr>
          <w:rFonts w:hint="eastAsia" w:ascii="宋体" w:hAnsi="宋体" w:cs="宋体"/>
          <w:color w:val="auto"/>
          <w:sz w:val="24"/>
          <w:highlight w:val="none"/>
        </w:rPr>
        <w:t>注：</w:t>
      </w:r>
    </w:p>
    <w:p>
      <w:pPr>
        <w:numPr>
          <w:ilvl w:val="0"/>
          <w:numId w:val="19"/>
        </w:numPr>
        <w:spacing w:line="360" w:lineRule="auto"/>
        <w:ind w:firstLine="480"/>
        <w:rPr>
          <w:rFonts w:ascii="宋体" w:hAnsi="宋体" w:cs="宋体"/>
          <w:color w:val="auto"/>
          <w:sz w:val="24"/>
          <w:highlight w:val="none"/>
        </w:rPr>
      </w:pPr>
      <w:r>
        <w:rPr>
          <w:rFonts w:hint="eastAsia" w:ascii="宋体"/>
          <w:b/>
          <w:bCs/>
          <w:color w:val="auto"/>
          <w:sz w:val="24"/>
          <w:highlight w:val="none"/>
          <w:lang w:val="zh-CN"/>
        </w:rPr>
        <w:t>此表无需在制作竞争性磋商响应文件时填写，作为磋商过程后二次报价时填写。最终报价由各磋商供应商在规定的时间内在政采云平台在线完成；政采云平台在线报价操作失败的，供应商应及时联系采购代理机构。）</w:t>
      </w:r>
    </w:p>
    <w:p>
      <w:pPr>
        <w:numPr>
          <w:ilvl w:val="0"/>
          <w:numId w:val="19"/>
        </w:num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填写此表时不得改变表格的形式。</w:t>
      </w:r>
    </w:p>
    <w:p>
      <w:pPr>
        <w:snapToGrid w:val="0"/>
        <w:spacing w:line="360" w:lineRule="auto"/>
        <w:ind w:firstLine="3748" w:firstLineChars="1562"/>
        <w:rPr>
          <w:rFonts w:ascii="宋体" w:hAnsi="宋体" w:cs="宋体"/>
          <w:color w:val="auto"/>
          <w:sz w:val="24"/>
          <w:highlight w:val="none"/>
          <w:lang w:val="zh-CN"/>
        </w:rPr>
      </w:pPr>
    </w:p>
    <w:p>
      <w:pPr>
        <w:snapToGrid w:val="0"/>
        <w:spacing w:line="360" w:lineRule="auto"/>
        <w:ind w:firstLine="3748" w:firstLineChars="1562"/>
        <w:rPr>
          <w:rFonts w:ascii="宋体" w:hAnsi="宋体" w:cs="宋体"/>
          <w:color w:val="auto"/>
          <w:sz w:val="24"/>
          <w:highlight w:val="none"/>
          <w:lang w:val="zh-CN"/>
        </w:rPr>
      </w:pPr>
    </w:p>
    <w:p>
      <w:pPr>
        <w:snapToGrid w:val="0"/>
        <w:spacing w:line="360" w:lineRule="auto"/>
        <w:ind w:firstLine="3748" w:firstLineChars="1562"/>
        <w:rPr>
          <w:rFonts w:ascii="宋体" w:hAnsi="宋体" w:cs="宋体"/>
          <w:color w:val="auto"/>
          <w:sz w:val="24"/>
          <w:highlight w:val="none"/>
          <w:lang w:val="zh-CN"/>
        </w:rPr>
      </w:pPr>
      <w:r>
        <w:rPr>
          <w:rFonts w:hint="eastAsia" w:ascii="宋体" w:hAnsi="宋体" w:cs="宋体"/>
          <w:color w:val="auto"/>
          <w:sz w:val="24"/>
          <w:highlight w:val="none"/>
          <w:lang w:val="zh-CN"/>
        </w:rPr>
        <w:t>磋商响应供应商名称（盖章）：</w:t>
      </w:r>
    </w:p>
    <w:p>
      <w:pPr>
        <w:snapToGrid w:val="0"/>
        <w:spacing w:line="360" w:lineRule="auto"/>
        <w:ind w:left="-204" w:leftChars="-97" w:firstLine="3480" w:firstLineChars="1450"/>
        <w:rPr>
          <w:rFonts w:ascii="宋体" w:hAnsi="宋体" w:cs="宋体"/>
          <w:color w:val="auto"/>
          <w:sz w:val="24"/>
          <w:highlight w:val="none"/>
        </w:rPr>
      </w:pPr>
      <w:r>
        <w:rPr>
          <w:rFonts w:hint="eastAsia" w:ascii="宋体" w:hAnsi="宋体" w:cs="宋体"/>
          <w:color w:val="auto"/>
          <w:sz w:val="24"/>
          <w:highlight w:val="none"/>
        </w:rPr>
        <w:t xml:space="preserve">    法定代表人或授权委托人（签字）：</w:t>
      </w:r>
    </w:p>
    <w:p>
      <w:pPr>
        <w:spacing w:line="360" w:lineRule="auto"/>
        <w:ind w:firstLine="480"/>
        <w:rPr>
          <w:rFonts w:ascii="宋体" w:hAnsi="宋体" w:cs="宋体"/>
          <w:b/>
          <w:bCs/>
          <w:color w:val="auto"/>
          <w:sz w:val="24"/>
          <w:highlight w:val="none"/>
        </w:rPr>
      </w:pPr>
      <w:r>
        <w:rPr>
          <w:rFonts w:hint="eastAsia" w:ascii="宋体" w:hAnsi="宋体" w:cs="宋体"/>
          <w:color w:val="auto"/>
          <w:sz w:val="24"/>
          <w:highlight w:val="none"/>
        </w:rPr>
        <w:t xml:space="preserve">                           日期：     年     月    日</w:t>
      </w:r>
    </w:p>
    <w:p>
      <w:pPr>
        <w:rPr>
          <w:color w:val="auto"/>
          <w:sz w:val="24"/>
          <w:szCs w:val="18"/>
          <w:highlight w:val="none"/>
        </w:rPr>
      </w:pPr>
      <w:r>
        <w:rPr>
          <w:rFonts w:hint="eastAsia"/>
          <w:color w:val="auto"/>
          <w:sz w:val="24"/>
          <w:szCs w:val="18"/>
          <w:highlight w:val="none"/>
        </w:rPr>
        <w:br w:type="page"/>
      </w:r>
    </w:p>
    <w:p>
      <w:pPr>
        <w:rPr>
          <w:b/>
          <w:bCs/>
          <w:color w:val="auto"/>
          <w:sz w:val="24"/>
          <w:szCs w:val="32"/>
          <w:highlight w:val="none"/>
        </w:rPr>
      </w:pPr>
      <w:r>
        <w:rPr>
          <w:rFonts w:hint="eastAsia"/>
          <w:b/>
          <w:bCs/>
          <w:color w:val="auto"/>
          <w:sz w:val="24"/>
          <w:szCs w:val="32"/>
          <w:highlight w:val="none"/>
          <w:lang w:val="zh-CN"/>
        </w:rPr>
        <w:t>附件十</w:t>
      </w:r>
      <w:r>
        <w:rPr>
          <w:rFonts w:hint="eastAsia"/>
          <w:b/>
          <w:bCs/>
          <w:color w:val="auto"/>
          <w:sz w:val="24"/>
          <w:szCs w:val="32"/>
          <w:highlight w:val="none"/>
        </w:rPr>
        <w:t>四：</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残疾人福利性单位声明函</w:t>
      </w:r>
      <w:bookmarkEnd w:id="115"/>
      <w:bookmarkEnd w:id="116"/>
      <w:bookmarkEnd w:id="117"/>
      <w:bookmarkEnd w:id="118"/>
    </w:p>
    <w:p>
      <w:pPr>
        <w:widowControl/>
        <w:snapToGrid w:val="0"/>
        <w:spacing w:line="324" w:lineRule="auto"/>
        <w:ind w:firstLine="480" w:firstLineChars="200"/>
        <w:jc w:val="center"/>
        <w:rPr>
          <w:rFonts w:ascii="宋体" w:hAnsi="宋体" w:cs="宋体"/>
          <w:color w:val="auto"/>
          <w:kern w:val="0"/>
          <w:sz w:val="24"/>
          <w:highlight w:val="none"/>
        </w:rPr>
      </w:pPr>
      <w:r>
        <w:rPr>
          <w:rFonts w:hint="eastAsia" w:ascii="宋体" w:hAnsi="宋体" w:cs="宋体"/>
          <w:color w:val="auto"/>
          <w:kern w:val="0"/>
          <w:sz w:val="24"/>
          <w:highlight w:val="none"/>
        </w:rPr>
        <w:t>【不属于残疾人福利性单位的无需填写、递交】</w:t>
      </w:r>
    </w:p>
    <w:p>
      <w:pPr>
        <w:spacing w:line="588" w:lineRule="exact"/>
        <w:rPr>
          <w:rFonts w:ascii="宋体" w:hAnsi="宋体" w:cs="宋体"/>
          <w:b/>
          <w:color w:val="auto"/>
          <w:spacing w:val="6"/>
          <w:sz w:val="30"/>
          <w:szCs w:val="30"/>
          <w:highlight w:val="none"/>
        </w:rPr>
      </w:pPr>
    </w:p>
    <w:p>
      <w:pPr>
        <w:spacing w:line="588"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服务，或者提供其他残疾人福利性单位提供的服务。本单位对上述声明的真实性负责。如有虚假，将依法承担相应责任。</w:t>
      </w:r>
    </w:p>
    <w:p>
      <w:pPr>
        <w:pStyle w:val="2"/>
        <w:rPr>
          <w:color w:val="auto"/>
          <w:highlight w:val="none"/>
        </w:rPr>
      </w:pPr>
    </w:p>
    <w:p>
      <w:pPr>
        <w:pStyle w:val="3"/>
        <w:rPr>
          <w:color w:val="auto"/>
          <w:highlight w:val="none"/>
        </w:rPr>
      </w:pPr>
    </w:p>
    <w:p>
      <w:pPr>
        <w:spacing w:line="588" w:lineRule="exact"/>
        <w:rPr>
          <w:rFonts w:ascii="宋体" w:hAnsi="宋体" w:cs="宋体"/>
          <w:color w:val="auto"/>
          <w:sz w:val="24"/>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rPr>
          <w:b/>
          <w:bCs/>
          <w:color w:val="auto"/>
          <w:sz w:val="24"/>
          <w:szCs w:val="18"/>
          <w:highlight w:val="none"/>
          <w:lang w:val="zh-CN"/>
        </w:rPr>
      </w:pPr>
      <w:bookmarkStart w:id="119" w:name="_Toc5441"/>
      <w:bookmarkStart w:id="120" w:name="_Toc24"/>
      <w:bookmarkStart w:id="121" w:name="_Toc2386"/>
      <w:bookmarkStart w:id="122" w:name="_Toc15966"/>
      <w:r>
        <w:rPr>
          <w:rFonts w:hint="eastAsia"/>
          <w:color w:val="auto"/>
          <w:sz w:val="24"/>
          <w:szCs w:val="18"/>
          <w:highlight w:val="none"/>
          <w:lang w:val="zh-CN"/>
        </w:rPr>
        <w:br w:type="page"/>
      </w:r>
      <w:r>
        <w:rPr>
          <w:rFonts w:hint="eastAsia"/>
          <w:b/>
          <w:bCs/>
          <w:color w:val="auto"/>
          <w:sz w:val="24"/>
          <w:szCs w:val="18"/>
          <w:highlight w:val="none"/>
          <w:lang w:val="zh-CN"/>
        </w:rPr>
        <w:t>附件十</w:t>
      </w:r>
      <w:r>
        <w:rPr>
          <w:rFonts w:hint="eastAsia"/>
          <w:b/>
          <w:bCs/>
          <w:color w:val="auto"/>
          <w:sz w:val="24"/>
          <w:szCs w:val="18"/>
          <w:highlight w:val="none"/>
        </w:rPr>
        <w:t>五：</w:t>
      </w:r>
    </w:p>
    <w:p>
      <w:pPr>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监狱企业证明文件</w:t>
      </w:r>
      <w:bookmarkEnd w:id="119"/>
      <w:bookmarkEnd w:id="120"/>
      <w:bookmarkEnd w:id="121"/>
      <w:bookmarkEnd w:id="122"/>
    </w:p>
    <w:p>
      <w:pPr>
        <w:widowControl/>
        <w:snapToGrid w:val="0"/>
        <w:spacing w:line="360" w:lineRule="auto"/>
        <w:jc w:val="center"/>
        <w:rPr>
          <w:rFonts w:ascii="宋体" w:hAnsi="宋体" w:cs="宋体"/>
          <w:color w:val="auto"/>
          <w:kern w:val="0"/>
          <w:sz w:val="28"/>
          <w:szCs w:val="28"/>
          <w:highlight w:val="none"/>
        </w:rPr>
      </w:pPr>
      <w:r>
        <w:rPr>
          <w:rFonts w:hint="eastAsia" w:ascii="宋体" w:hAnsi="宋体" w:cs="宋体"/>
          <w:color w:val="auto"/>
          <w:kern w:val="0"/>
          <w:sz w:val="28"/>
          <w:szCs w:val="28"/>
          <w:highlight w:val="none"/>
        </w:rPr>
        <w:t>【不属于监狱企业的无需填写、递交】</w:t>
      </w:r>
    </w:p>
    <w:p>
      <w:pPr>
        <w:widowControl/>
        <w:snapToGrid w:val="0"/>
        <w:spacing w:line="324" w:lineRule="auto"/>
        <w:jc w:val="center"/>
        <w:rPr>
          <w:rFonts w:ascii="宋体" w:hAnsi="宋体" w:cs="宋体"/>
          <w:color w:val="auto"/>
          <w:kern w:val="0"/>
          <w:sz w:val="24"/>
          <w:highlight w:val="none"/>
        </w:rPr>
      </w:pPr>
    </w:p>
    <w:p>
      <w:pPr>
        <w:spacing w:line="588" w:lineRule="exact"/>
        <w:ind w:firstLine="480" w:firstLineChars="200"/>
        <w:rPr>
          <w:rFonts w:ascii="宋体" w:hAnsi="宋体" w:cs="宋体"/>
          <w:color w:val="auto"/>
          <w:sz w:val="24"/>
          <w:highlight w:val="none"/>
        </w:rPr>
      </w:pPr>
    </w:p>
    <w:p>
      <w:pPr>
        <w:adjustRightInd w:val="0"/>
        <w:snapToGrid w:val="0"/>
        <w:spacing w:beforeLines="50"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监狱企业需提供省级以上的监狱管理局、戒毒管理局（含新疆生产建设兵团）出具的属于监狱企业的证明文件。  </w:t>
      </w:r>
    </w:p>
    <w:p>
      <w:pPr>
        <w:pStyle w:val="2"/>
        <w:rPr>
          <w:color w:val="auto"/>
          <w:highlight w:val="none"/>
        </w:rPr>
      </w:pPr>
    </w:p>
    <w:p>
      <w:pPr>
        <w:pStyle w:val="3"/>
        <w:rPr>
          <w:color w:val="auto"/>
          <w:highlight w:val="none"/>
        </w:rPr>
      </w:pP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法定代表人签名（或签名章）：                       </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日 期：</w:t>
      </w:r>
    </w:p>
    <w:p>
      <w:pPr>
        <w:spacing w:line="360" w:lineRule="auto"/>
        <w:ind w:left="3780" w:leftChars="1800" w:firstLine="480" w:firstLineChars="200"/>
        <w:rPr>
          <w:rFonts w:ascii="宋体" w:hAnsi="宋体" w:cs="宋体"/>
          <w:color w:val="auto"/>
          <w:sz w:val="24"/>
          <w:highlight w:val="none"/>
        </w:rPr>
      </w:pPr>
      <w:r>
        <w:rPr>
          <w:rFonts w:hint="eastAsia" w:ascii="宋体" w:hAnsi="宋体" w:cs="宋体"/>
          <w:color w:val="auto"/>
          <w:sz w:val="24"/>
          <w:highlight w:val="none"/>
        </w:rPr>
        <w:t>供应商全称（公章）：</w:t>
      </w:r>
    </w:p>
    <w:p>
      <w:pPr>
        <w:spacing w:line="360" w:lineRule="auto"/>
        <w:jc w:val="center"/>
        <w:rPr>
          <w:rFonts w:ascii="宋体" w:hAnsi="宋体" w:cs="宋体"/>
          <w:b/>
          <w:color w:val="auto"/>
          <w:sz w:val="24"/>
          <w:highlight w:val="none"/>
        </w:rPr>
      </w:pPr>
    </w:p>
    <w:p>
      <w:pPr>
        <w:spacing w:line="360" w:lineRule="auto"/>
        <w:rPr>
          <w:color w:val="auto"/>
          <w:sz w:val="36"/>
          <w:highlight w:val="none"/>
        </w:rPr>
      </w:pPr>
    </w:p>
    <w:p>
      <w:pPr>
        <w:pStyle w:val="22"/>
        <w:ind w:firstLine="210"/>
        <w:rPr>
          <w:color w:val="auto"/>
          <w:highlight w:val="none"/>
        </w:rPr>
      </w:pPr>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PGothic">
    <w:panose1 w:val="020B0600070205080204"/>
    <w:charset w:val="80"/>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path/>
          <v:fill on="f" focussize="0,0"/>
          <v:stroke on="f" weight="0.5pt" joinstyle="miter"/>
          <v:imagedata o:title=""/>
          <o:lock v:ext="edit"/>
          <v:textbox inset="0mm,0mm,0mm,0mm" style="mso-fit-shape-to-text:t;">
            <w:txbxContent>
              <w:p>
                <w:pPr>
                  <w:pStyle w:val="17"/>
                </w:pPr>
                <w:r>
                  <w:fldChar w:fldCharType="begin"/>
                </w:r>
                <w:r>
                  <w:instrText xml:space="preserve"> PAGE  \* MERGEFORMAT </w:instrText>
                </w:r>
                <w:r>
                  <w:fldChar w:fldCharType="separate"/>
                </w:r>
                <w:r>
                  <w:t>15</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B993BA"/>
    <w:multiLevelType w:val="singleLevel"/>
    <w:tmpl w:val="93B993BA"/>
    <w:lvl w:ilvl="0" w:tentative="0">
      <w:start w:val="1"/>
      <w:numFmt w:val="decimal"/>
      <w:suff w:val="nothing"/>
      <w:lvlText w:val="%1．"/>
      <w:lvlJc w:val="left"/>
      <w:pPr>
        <w:ind w:left="0" w:firstLine="397"/>
      </w:pPr>
      <w:rPr>
        <w:rFonts w:hint="default"/>
      </w:rPr>
    </w:lvl>
  </w:abstractNum>
  <w:abstractNum w:abstractNumId="1">
    <w:nsid w:val="960C84E7"/>
    <w:multiLevelType w:val="singleLevel"/>
    <w:tmpl w:val="960C84E7"/>
    <w:lvl w:ilvl="0" w:tentative="0">
      <w:start w:val="1"/>
      <w:numFmt w:val="decimal"/>
      <w:suff w:val="nothing"/>
      <w:lvlText w:val="14.%1 "/>
      <w:lvlJc w:val="left"/>
      <w:pPr>
        <w:tabs>
          <w:tab w:val="left" w:pos="0"/>
        </w:tabs>
        <w:ind w:left="0" w:firstLine="40"/>
      </w:pPr>
      <w:rPr>
        <w:rFonts w:hint="default" w:ascii="宋体" w:hAnsi="宋体" w:eastAsia="宋体" w:cs="宋体"/>
      </w:rPr>
    </w:lvl>
  </w:abstractNum>
  <w:abstractNum w:abstractNumId="2">
    <w:nsid w:val="9E7D436F"/>
    <w:multiLevelType w:val="singleLevel"/>
    <w:tmpl w:val="9E7D436F"/>
    <w:lvl w:ilvl="0" w:tentative="0">
      <w:start w:val="1"/>
      <w:numFmt w:val="chineseCounting"/>
      <w:suff w:val="nothing"/>
      <w:lvlText w:val="%1、"/>
      <w:lvlJc w:val="left"/>
      <w:rPr>
        <w:rFonts w:hint="eastAsia"/>
      </w:rPr>
    </w:lvl>
  </w:abstractNum>
  <w:abstractNum w:abstractNumId="3">
    <w:nsid w:val="D398E9E8"/>
    <w:multiLevelType w:val="singleLevel"/>
    <w:tmpl w:val="D398E9E8"/>
    <w:lvl w:ilvl="0" w:tentative="0">
      <w:start w:val="3"/>
      <w:numFmt w:val="chineseCounting"/>
      <w:suff w:val="space"/>
      <w:lvlText w:val="第%1部分"/>
      <w:lvlJc w:val="left"/>
      <w:rPr>
        <w:rFonts w:hint="eastAsia"/>
      </w:rPr>
    </w:lvl>
  </w:abstractNum>
  <w:abstractNum w:abstractNumId="4">
    <w:nsid w:val="D5C663A9"/>
    <w:multiLevelType w:val="singleLevel"/>
    <w:tmpl w:val="D5C663A9"/>
    <w:lvl w:ilvl="0" w:tentative="0">
      <w:start w:val="1"/>
      <w:numFmt w:val="decimalEnclosedCircleChinese"/>
      <w:suff w:val="nothing"/>
      <w:lvlText w:val="%1　"/>
      <w:lvlJc w:val="left"/>
      <w:pPr>
        <w:ind w:left="0" w:firstLine="1134"/>
      </w:pPr>
      <w:rPr>
        <w:rFonts w:hint="eastAsia"/>
      </w:rPr>
    </w:lvl>
  </w:abstractNum>
  <w:abstractNum w:abstractNumId="5">
    <w:nsid w:val="00000004"/>
    <w:multiLevelType w:val="singleLevel"/>
    <w:tmpl w:val="00000004"/>
    <w:lvl w:ilvl="0" w:tentative="0">
      <w:start w:val="1"/>
      <w:numFmt w:val="decimal"/>
      <w:suff w:val="space"/>
      <w:lvlText w:val="%1."/>
      <w:lvlJc w:val="left"/>
    </w:lvl>
  </w:abstractNum>
  <w:abstractNum w:abstractNumId="6">
    <w:nsid w:val="12F353C5"/>
    <w:multiLevelType w:val="singleLevel"/>
    <w:tmpl w:val="12F353C5"/>
    <w:lvl w:ilvl="0" w:tentative="0">
      <w:start w:val="1"/>
      <w:numFmt w:val="chineseCounting"/>
      <w:suff w:val="nothing"/>
      <w:lvlText w:val="%1、"/>
      <w:lvlJc w:val="left"/>
      <w:rPr>
        <w:rFonts w:hint="eastAsia"/>
      </w:rPr>
    </w:lvl>
  </w:abstractNum>
  <w:abstractNum w:abstractNumId="7">
    <w:nsid w:val="139B6DF6"/>
    <w:multiLevelType w:val="singleLevel"/>
    <w:tmpl w:val="139B6DF6"/>
    <w:lvl w:ilvl="0" w:tentative="0">
      <w:start w:val="1"/>
      <w:numFmt w:val="decimal"/>
      <w:suff w:val="nothing"/>
      <w:lvlText w:val="9.%1 "/>
      <w:lvlJc w:val="left"/>
      <w:pPr>
        <w:tabs>
          <w:tab w:val="left" w:pos="0"/>
        </w:tabs>
        <w:ind w:left="0" w:firstLine="40"/>
      </w:pPr>
      <w:rPr>
        <w:rFonts w:hint="default" w:ascii="宋体" w:hAnsi="宋体" w:eastAsia="宋体" w:cs="宋体"/>
      </w:rPr>
    </w:lvl>
  </w:abstractNum>
  <w:abstractNum w:abstractNumId="8">
    <w:nsid w:val="1DBCF645"/>
    <w:multiLevelType w:val="singleLevel"/>
    <w:tmpl w:val="1DBCF645"/>
    <w:lvl w:ilvl="0" w:tentative="0">
      <w:start w:val="1"/>
      <w:numFmt w:val="decimalEnclosedCircleChinese"/>
      <w:suff w:val="nothing"/>
      <w:lvlText w:val="%1　"/>
      <w:lvlJc w:val="left"/>
      <w:pPr>
        <w:ind w:left="0" w:firstLine="397"/>
      </w:pPr>
      <w:rPr>
        <w:rFonts w:hint="eastAsia"/>
      </w:rPr>
    </w:lvl>
  </w:abstractNum>
  <w:abstractNum w:abstractNumId="9">
    <w:nsid w:val="1EC1A361"/>
    <w:multiLevelType w:val="singleLevel"/>
    <w:tmpl w:val="1EC1A361"/>
    <w:lvl w:ilvl="0" w:tentative="0">
      <w:start w:val="1"/>
      <w:numFmt w:val="decimalEnclosedCircleChinese"/>
      <w:suff w:val="nothing"/>
      <w:lvlText w:val="%1　"/>
      <w:lvlJc w:val="left"/>
      <w:pPr>
        <w:ind w:left="0" w:firstLine="397"/>
      </w:pPr>
      <w:rPr>
        <w:rFonts w:hint="eastAsia"/>
      </w:rPr>
    </w:lvl>
  </w:abstractNum>
  <w:abstractNum w:abstractNumId="10">
    <w:nsid w:val="25F33ADD"/>
    <w:multiLevelType w:val="singleLevel"/>
    <w:tmpl w:val="25F33ADD"/>
    <w:lvl w:ilvl="0" w:tentative="0">
      <w:start w:val="1"/>
      <w:numFmt w:val="decimalEnclosedCircleChinese"/>
      <w:suff w:val="nothing"/>
      <w:lvlText w:val="%1　"/>
      <w:lvlJc w:val="left"/>
      <w:pPr>
        <w:ind w:left="0" w:firstLine="1134"/>
      </w:pPr>
      <w:rPr>
        <w:rFonts w:hint="eastAsia"/>
      </w:rPr>
    </w:lvl>
  </w:abstractNum>
  <w:abstractNum w:abstractNumId="11">
    <w:nsid w:val="31213A5A"/>
    <w:multiLevelType w:val="singleLevel"/>
    <w:tmpl w:val="31213A5A"/>
    <w:lvl w:ilvl="0" w:tentative="0">
      <w:start w:val="4"/>
      <w:numFmt w:val="chineseCounting"/>
      <w:suff w:val="nothing"/>
      <w:lvlText w:val="%1、"/>
      <w:lvlJc w:val="left"/>
      <w:rPr>
        <w:rFonts w:hint="eastAsia"/>
      </w:rPr>
    </w:lvl>
  </w:abstractNum>
  <w:abstractNum w:abstractNumId="12">
    <w:nsid w:val="3D2337F2"/>
    <w:multiLevelType w:val="multilevel"/>
    <w:tmpl w:val="3D2337F2"/>
    <w:lvl w:ilvl="0" w:tentative="0">
      <w:start w:val="1"/>
      <w:numFmt w:val="japaneseCounting"/>
      <w:lvlText w:val="第%1章"/>
      <w:lvlJc w:val="left"/>
      <w:pPr>
        <w:tabs>
          <w:tab w:val="left" w:pos="1140"/>
        </w:tabs>
        <w:ind w:left="1140" w:hanging="1140"/>
      </w:pPr>
      <w:rPr>
        <w:rFonts w:hint="default"/>
      </w:rPr>
    </w:lvl>
    <w:lvl w:ilvl="1" w:tentative="0">
      <w:start w:val="1"/>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3F94463"/>
    <w:multiLevelType w:val="singleLevel"/>
    <w:tmpl w:val="43F94463"/>
    <w:lvl w:ilvl="0" w:tentative="0">
      <w:start w:val="1"/>
      <w:numFmt w:val="decimalEnclosedCircleChinese"/>
      <w:suff w:val="nothing"/>
      <w:lvlText w:val="%1　"/>
      <w:lvlJc w:val="left"/>
      <w:pPr>
        <w:ind w:left="0" w:firstLine="1134"/>
      </w:pPr>
      <w:rPr>
        <w:rFonts w:hint="eastAsia"/>
      </w:rPr>
    </w:lvl>
  </w:abstractNum>
  <w:abstractNum w:abstractNumId="14">
    <w:nsid w:val="466C6E1F"/>
    <w:multiLevelType w:val="multilevel"/>
    <w:tmpl w:val="466C6E1F"/>
    <w:lvl w:ilvl="0" w:tentative="0">
      <w:start w:val="1"/>
      <w:numFmt w:val="upperLetter"/>
      <w:pStyle w:val="5"/>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5">
    <w:nsid w:val="474E1A63"/>
    <w:multiLevelType w:val="singleLevel"/>
    <w:tmpl w:val="474E1A63"/>
    <w:lvl w:ilvl="0" w:tentative="0">
      <w:start w:val="1"/>
      <w:numFmt w:val="decimalEnclosedCircleChinese"/>
      <w:suff w:val="nothing"/>
      <w:lvlText w:val="%1　"/>
      <w:lvlJc w:val="left"/>
      <w:pPr>
        <w:ind w:left="0" w:firstLine="1134"/>
      </w:pPr>
      <w:rPr>
        <w:rFonts w:hint="eastAsia"/>
      </w:rPr>
    </w:lvl>
  </w:abstractNum>
  <w:abstractNum w:abstractNumId="16">
    <w:nsid w:val="4D4A2151"/>
    <w:multiLevelType w:val="singleLevel"/>
    <w:tmpl w:val="4D4A2151"/>
    <w:lvl w:ilvl="0" w:tentative="0">
      <w:start w:val="1"/>
      <w:numFmt w:val="decimal"/>
      <w:suff w:val="nothing"/>
      <w:lvlText w:val="%1．"/>
      <w:lvlJc w:val="left"/>
      <w:pPr>
        <w:ind w:left="0" w:firstLine="397"/>
      </w:pPr>
      <w:rPr>
        <w:rFonts w:hint="default"/>
      </w:rPr>
    </w:lvl>
  </w:abstractNum>
  <w:abstractNum w:abstractNumId="17">
    <w:nsid w:val="62705028"/>
    <w:multiLevelType w:val="singleLevel"/>
    <w:tmpl w:val="62705028"/>
    <w:lvl w:ilvl="0" w:tentative="0">
      <w:start w:val="1"/>
      <w:numFmt w:val="decimalEnclosedCircleChinese"/>
      <w:suff w:val="nothing"/>
      <w:lvlText w:val="%1　"/>
      <w:lvlJc w:val="left"/>
      <w:pPr>
        <w:ind w:left="0" w:firstLine="397"/>
      </w:pPr>
      <w:rPr>
        <w:rFonts w:hint="eastAsia"/>
      </w:rPr>
    </w:lvl>
  </w:abstractNum>
  <w:abstractNum w:abstractNumId="18">
    <w:nsid w:val="7B2826C6"/>
    <w:multiLevelType w:val="singleLevel"/>
    <w:tmpl w:val="7B2826C6"/>
    <w:lvl w:ilvl="0" w:tentative="0">
      <w:start w:val="1"/>
      <w:numFmt w:val="decimal"/>
      <w:suff w:val="nothing"/>
      <w:lvlText w:val="%1．"/>
      <w:lvlJc w:val="left"/>
      <w:pPr>
        <w:ind w:left="0" w:firstLine="397"/>
      </w:pPr>
      <w:rPr>
        <w:rFonts w:hint="default"/>
      </w:rPr>
    </w:lvl>
  </w:abstractNum>
  <w:num w:numId="1">
    <w:abstractNumId w:val="14"/>
  </w:num>
  <w:num w:numId="2">
    <w:abstractNumId w:val="16"/>
  </w:num>
  <w:num w:numId="3">
    <w:abstractNumId w:val="8"/>
  </w:num>
  <w:num w:numId="4">
    <w:abstractNumId w:val="18"/>
  </w:num>
  <w:num w:numId="5">
    <w:abstractNumId w:val="9"/>
  </w:num>
  <w:num w:numId="6">
    <w:abstractNumId w:val="0"/>
  </w:num>
  <w:num w:numId="7">
    <w:abstractNumId w:val="17"/>
  </w:num>
  <w:num w:numId="8">
    <w:abstractNumId w:val="6"/>
  </w:num>
  <w:num w:numId="9">
    <w:abstractNumId w:val="7"/>
  </w:num>
  <w:num w:numId="10">
    <w:abstractNumId w:val="15"/>
  </w:num>
  <w:num w:numId="11">
    <w:abstractNumId w:val="13"/>
  </w:num>
  <w:num w:numId="12">
    <w:abstractNumId w:val="4"/>
  </w:num>
  <w:num w:numId="13">
    <w:abstractNumId w:val="1"/>
  </w:num>
  <w:num w:numId="14">
    <w:abstractNumId w:val="10"/>
  </w:num>
  <w:num w:numId="15">
    <w:abstractNumId w:val="3"/>
  </w:num>
  <w:num w:numId="16">
    <w:abstractNumId w:val="12"/>
  </w:num>
  <w:num w:numId="17">
    <w:abstractNumId w:val="2"/>
  </w:num>
  <w:num w:numId="18">
    <w:abstractNumId w:val="1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AA412FE"/>
    <w:rsid w:val="000043F0"/>
    <w:rsid w:val="00010368"/>
    <w:rsid w:val="000149C4"/>
    <w:rsid w:val="00036572"/>
    <w:rsid w:val="0005274D"/>
    <w:rsid w:val="00084C25"/>
    <w:rsid w:val="000873C6"/>
    <w:rsid w:val="000D288F"/>
    <w:rsid w:val="00185BC0"/>
    <w:rsid w:val="00204B9B"/>
    <w:rsid w:val="0023731C"/>
    <w:rsid w:val="0024476D"/>
    <w:rsid w:val="0027443F"/>
    <w:rsid w:val="0028249B"/>
    <w:rsid w:val="0028681C"/>
    <w:rsid w:val="00293AB0"/>
    <w:rsid w:val="002C3DF3"/>
    <w:rsid w:val="002D1FDB"/>
    <w:rsid w:val="002F00F1"/>
    <w:rsid w:val="0032693C"/>
    <w:rsid w:val="0033184A"/>
    <w:rsid w:val="003320CE"/>
    <w:rsid w:val="00351F69"/>
    <w:rsid w:val="003A32A6"/>
    <w:rsid w:val="004222F9"/>
    <w:rsid w:val="00436332"/>
    <w:rsid w:val="004704D6"/>
    <w:rsid w:val="00496707"/>
    <w:rsid w:val="004C029A"/>
    <w:rsid w:val="00576276"/>
    <w:rsid w:val="005857F2"/>
    <w:rsid w:val="005A45FD"/>
    <w:rsid w:val="005B42BC"/>
    <w:rsid w:val="005F15E8"/>
    <w:rsid w:val="00623C36"/>
    <w:rsid w:val="00667F3D"/>
    <w:rsid w:val="00682074"/>
    <w:rsid w:val="00682BEF"/>
    <w:rsid w:val="006D6740"/>
    <w:rsid w:val="007B39FC"/>
    <w:rsid w:val="007D0BD1"/>
    <w:rsid w:val="00817993"/>
    <w:rsid w:val="00864B0F"/>
    <w:rsid w:val="00897642"/>
    <w:rsid w:val="008C01AA"/>
    <w:rsid w:val="008C7B8D"/>
    <w:rsid w:val="009124B6"/>
    <w:rsid w:val="009B4EBF"/>
    <w:rsid w:val="00A311F5"/>
    <w:rsid w:val="00A4716A"/>
    <w:rsid w:val="00AE30F9"/>
    <w:rsid w:val="00B11C98"/>
    <w:rsid w:val="00B338EE"/>
    <w:rsid w:val="00B56B29"/>
    <w:rsid w:val="00B6446A"/>
    <w:rsid w:val="00B920C0"/>
    <w:rsid w:val="00BF7BF4"/>
    <w:rsid w:val="00C14600"/>
    <w:rsid w:val="00D0331E"/>
    <w:rsid w:val="00D136DF"/>
    <w:rsid w:val="00D24E56"/>
    <w:rsid w:val="00D35EFB"/>
    <w:rsid w:val="00D4359A"/>
    <w:rsid w:val="00DB1064"/>
    <w:rsid w:val="00DF2451"/>
    <w:rsid w:val="00E072E4"/>
    <w:rsid w:val="00E247AC"/>
    <w:rsid w:val="00E41FBC"/>
    <w:rsid w:val="00E472C8"/>
    <w:rsid w:val="00EE0C95"/>
    <w:rsid w:val="00F74986"/>
    <w:rsid w:val="00FC4A46"/>
    <w:rsid w:val="01632A09"/>
    <w:rsid w:val="01F73E00"/>
    <w:rsid w:val="02BD33C0"/>
    <w:rsid w:val="06C70782"/>
    <w:rsid w:val="07E66F2C"/>
    <w:rsid w:val="0A2D3B5A"/>
    <w:rsid w:val="0AA57322"/>
    <w:rsid w:val="0B0C4FB5"/>
    <w:rsid w:val="0DD753B8"/>
    <w:rsid w:val="0DF41A8B"/>
    <w:rsid w:val="0F2A0C22"/>
    <w:rsid w:val="13D14007"/>
    <w:rsid w:val="14DC0AE8"/>
    <w:rsid w:val="156F5F62"/>
    <w:rsid w:val="169B05B3"/>
    <w:rsid w:val="16EB43B2"/>
    <w:rsid w:val="17BD69BA"/>
    <w:rsid w:val="182326E8"/>
    <w:rsid w:val="18893B15"/>
    <w:rsid w:val="1BD52623"/>
    <w:rsid w:val="1BDB27A5"/>
    <w:rsid w:val="1C18320B"/>
    <w:rsid w:val="1C4F23BB"/>
    <w:rsid w:val="1EDA1EFB"/>
    <w:rsid w:val="205B73C3"/>
    <w:rsid w:val="21D3055C"/>
    <w:rsid w:val="22597A6D"/>
    <w:rsid w:val="22FD7C07"/>
    <w:rsid w:val="255C4B20"/>
    <w:rsid w:val="26451EEA"/>
    <w:rsid w:val="265F2F7D"/>
    <w:rsid w:val="26704F2E"/>
    <w:rsid w:val="28C62F56"/>
    <w:rsid w:val="28F0407A"/>
    <w:rsid w:val="29655706"/>
    <w:rsid w:val="2E664953"/>
    <w:rsid w:val="2F7F5D3D"/>
    <w:rsid w:val="2FE86286"/>
    <w:rsid w:val="30FB7A19"/>
    <w:rsid w:val="32A75185"/>
    <w:rsid w:val="33340B4D"/>
    <w:rsid w:val="34405983"/>
    <w:rsid w:val="349413EA"/>
    <w:rsid w:val="34A8075B"/>
    <w:rsid w:val="3A9A1CCB"/>
    <w:rsid w:val="3E234A24"/>
    <w:rsid w:val="3E5A73F5"/>
    <w:rsid w:val="3E6569DC"/>
    <w:rsid w:val="3E9B730B"/>
    <w:rsid w:val="3F5519BB"/>
    <w:rsid w:val="3F631171"/>
    <w:rsid w:val="40384E0C"/>
    <w:rsid w:val="40B366A0"/>
    <w:rsid w:val="4297507F"/>
    <w:rsid w:val="42A44E8B"/>
    <w:rsid w:val="46DC020E"/>
    <w:rsid w:val="476D3D33"/>
    <w:rsid w:val="47D52A2A"/>
    <w:rsid w:val="47FC657F"/>
    <w:rsid w:val="48B50263"/>
    <w:rsid w:val="49C134CC"/>
    <w:rsid w:val="4BE44EED"/>
    <w:rsid w:val="4D1D51FB"/>
    <w:rsid w:val="4E575621"/>
    <w:rsid w:val="510231D9"/>
    <w:rsid w:val="540566D6"/>
    <w:rsid w:val="54A90D98"/>
    <w:rsid w:val="54F65EBA"/>
    <w:rsid w:val="56F203B4"/>
    <w:rsid w:val="57FC55AA"/>
    <w:rsid w:val="58191C2E"/>
    <w:rsid w:val="58551F7D"/>
    <w:rsid w:val="58D30CFE"/>
    <w:rsid w:val="5AA412FE"/>
    <w:rsid w:val="5BFF50B8"/>
    <w:rsid w:val="5C840DF5"/>
    <w:rsid w:val="5CB34070"/>
    <w:rsid w:val="5D217374"/>
    <w:rsid w:val="5D382AD6"/>
    <w:rsid w:val="5D862CE4"/>
    <w:rsid w:val="5DE81AA6"/>
    <w:rsid w:val="5E2B51A2"/>
    <w:rsid w:val="5FD125EC"/>
    <w:rsid w:val="61A7306B"/>
    <w:rsid w:val="638717D9"/>
    <w:rsid w:val="652B657D"/>
    <w:rsid w:val="67996221"/>
    <w:rsid w:val="68C15F8F"/>
    <w:rsid w:val="69A14E77"/>
    <w:rsid w:val="6CFC3F39"/>
    <w:rsid w:val="6D88336F"/>
    <w:rsid w:val="6DB32DDD"/>
    <w:rsid w:val="6E957640"/>
    <w:rsid w:val="6F0D7A8D"/>
    <w:rsid w:val="72EA0AEA"/>
    <w:rsid w:val="73945ED4"/>
    <w:rsid w:val="74977041"/>
    <w:rsid w:val="7593617A"/>
    <w:rsid w:val="75BA5477"/>
    <w:rsid w:val="77376EB5"/>
    <w:rsid w:val="77537603"/>
    <w:rsid w:val="77B33BCE"/>
    <w:rsid w:val="797D7A36"/>
    <w:rsid w:val="7AA33536"/>
    <w:rsid w:val="7DBF21A5"/>
    <w:rsid w:val="7DCD6E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2"/>
    <w:qFormat/>
    <w:uiPriority w:val="0"/>
    <w:pPr>
      <w:keepNext/>
      <w:keepLines/>
      <w:spacing w:line="576" w:lineRule="auto"/>
      <w:outlineLvl w:val="0"/>
    </w:pPr>
    <w:rPr>
      <w:b/>
      <w:kern w:val="44"/>
      <w:sz w:val="44"/>
    </w:rPr>
  </w:style>
  <w:style w:type="paragraph" w:styleId="2">
    <w:name w:val="heading 2"/>
    <w:basedOn w:val="1"/>
    <w:next w:val="3"/>
    <w:qFormat/>
    <w:uiPriority w:val="0"/>
    <w:pPr>
      <w:keepNext/>
      <w:spacing w:line="216" w:lineRule="auto"/>
      <w:outlineLvl w:val="1"/>
    </w:pPr>
    <w:rPr>
      <w:rFonts w:ascii="宋体"/>
      <w:b/>
      <w:sz w:val="28"/>
      <w:szCs w:val="20"/>
    </w:rPr>
  </w:style>
  <w:style w:type="paragraph" w:styleId="5">
    <w:name w:val="heading 3"/>
    <w:basedOn w:val="1"/>
    <w:next w:val="1"/>
    <w:qFormat/>
    <w:uiPriority w:val="0"/>
    <w:pPr>
      <w:keepNext/>
      <w:numPr>
        <w:ilvl w:val="0"/>
        <w:numId w:val="1"/>
      </w:numPr>
      <w:spacing w:line="216" w:lineRule="auto"/>
      <w:outlineLvl w:val="2"/>
    </w:pPr>
    <w:rPr>
      <w:rFonts w:ascii="宋体"/>
      <w:b/>
      <w:bCs/>
      <w:sz w:val="28"/>
      <w:szCs w:val="20"/>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6">
    <w:name w:val="Body Text"/>
    <w:basedOn w:val="1"/>
    <w:next w:val="7"/>
    <w:qFormat/>
    <w:uiPriority w:val="0"/>
  </w:style>
  <w:style w:type="paragraph" w:customStyle="1" w:styleId="7">
    <w:name w:val="样式 表格正文 + 两端对齐"/>
    <w:basedOn w:val="1"/>
    <w:next w:val="8"/>
    <w:qFormat/>
    <w:uiPriority w:val="0"/>
    <w:pPr>
      <w:spacing w:line="300" w:lineRule="auto"/>
    </w:pPr>
    <w:rPr>
      <w:sz w:val="24"/>
    </w:rPr>
  </w:style>
  <w:style w:type="paragraph" w:customStyle="1" w:styleId="8">
    <w:name w:val="正文1"/>
    <w:basedOn w:val="1"/>
    <w:next w:val="9"/>
    <w:qFormat/>
    <w:uiPriority w:val="0"/>
    <w:pPr>
      <w:widowControl/>
      <w:snapToGrid w:val="0"/>
      <w:spacing w:line="500" w:lineRule="exact"/>
      <w:ind w:firstLine="567"/>
    </w:pPr>
    <w:rPr>
      <w:rFonts w:ascii="楷体_GB2312" w:eastAsia="楷体_GB2312"/>
      <w:kern w:val="0"/>
      <w:sz w:val="28"/>
      <w:szCs w:val="20"/>
    </w:rPr>
  </w:style>
  <w:style w:type="paragraph" w:customStyle="1" w:styleId="9">
    <w:name w:val="自动更正"/>
    <w:next w:val="1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xl39"/>
    <w:basedOn w:val="1"/>
    <w:next w:val="11"/>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11">
    <w:name w:val="分手多日，近况如何？"/>
    <w:next w:val="1"/>
    <w:qFormat/>
    <w:uiPriority w:val="0"/>
    <w:pPr>
      <w:widowControl w:val="0"/>
      <w:jc w:val="both"/>
    </w:pPr>
    <w:rPr>
      <w:rFonts w:ascii="Times New Roman" w:hAnsi="Times New Roman" w:eastAsia="宋体" w:cs="Times New Roman"/>
      <w:sz w:val="21"/>
      <w:lang w:val="en-US" w:eastAsia="zh-CN" w:bidi="ar-SA"/>
    </w:rPr>
  </w:style>
  <w:style w:type="paragraph" w:styleId="12">
    <w:name w:val="Body Text Indent"/>
    <w:basedOn w:val="1"/>
    <w:next w:val="13"/>
    <w:qFormat/>
    <w:uiPriority w:val="0"/>
    <w:pPr>
      <w:adjustRightInd w:val="0"/>
      <w:spacing w:line="360" w:lineRule="auto"/>
      <w:ind w:firstLine="490"/>
      <w:jc w:val="left"/>
    </w:pPr>
    <w:rPr>
      <w:rFonts w:hint="eastAsia" w:ascii="宋体" w:hAnsi="宋体"/>
      <w:sz w:val="24"/>
    </w:rPr>
  </w:style>
  <w:style w:type="paragraph" w:styleId="13">
    <w:name w:val="Body Text First Indent 2"/>
    <w:basedOn w:val="12"/>
    <w:qFormat/>
    <w:uiPriority w:val="0"/>
    <w:pPr>
      <w:ind w:firstLine="420" w:firstLineChars="200"/>
    </w:pPr>
  </w:style>
  <w:style w:type="paragraph" w:styleId="14">
    <w:name w:val="Plain Text"/>
    <w:basedOn w:val="1"/>
    <w:next w:val="1"/>
    <w:qFormat/>
    <w:uiPriority w:val="0"/>
    <w:rPr>
      <w:rFonts w:ascii="宋体" w:hAnsi="Courier New" w:cs="Courier New"/>
      <w:szCs w:val="21"/>
    </w:rPr>
  </w:style>
  <w:style w:type="paragraph" w:styleId="15">
    <w:name w:val="Date"/>
    <w:basedOn w:val="1"/>
    <w:next w:val="1"/>
    <w:qFormat/>
    <w:uiPriority w:val="0"/>
    <w:pPr>
      <w:ind w:left="100" w:leftChars="2500"/>
    </w:pPr>
    <w:rPr>
      <w:rFonts w:ascii="宋体" w:hAnsi="宋体"/>
      <w:color w:val="000000"/>
      <w:sz w:val="24"/>
    </w:rPr>
  </w:style>
  <w:style w:type="paragraph" w:styleId="16">
    <w:name w:val="Balloon Text"/>
    <w:basedOn w:val="1"/>
    <w:link w:val="37"/>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adjustRightInd w:val="0"/>
      <w:snapToGrid w:val="0"/>
      <w:spacing w:line="240" w:lineRule="atLeast"/>
      <w:jc w:val="center"/>
      <w:textAlignment w:val="baseline"/>
    </w:pPr>
    <w:rPr>
      <w:rFonts w:ascii="宋体"/>
      <w:kern w:val="0"/>
      <w:sz w:val="18"/>
      <w:szCs w:val="20"/>
    </w:rPr>
  </w:style>
  <w:style w:type="paragraph" w:styleId="19">
    <w:name w:val="toc 1"/>
    <w:basedOn w:val="1"/>
    <w:next w:val="1"/>
    <w:qFormat/>
    <w:uiPriority w:val="39"/>
  </w:style>
  <w:style w:type="paragraph" w:styleId="20">
    <w:name w:val="toc 2"/>
    <w:basedOn w:val="1"/>
    <w:next w:val="1"/>
    <w:qFormat/>
    <w:uiPriority w:val="39"/>
    <w:pPr>
      <w:ind w:left="420" w:leftChars="200"/>
    </w:pPr>
  </w:style>
  <w:style w:type="paragraph" w:styleId="21">
    <w:name w:val="Normal (Web)"/>
    <w:basedOn w:val="1"/>
    <w:qFormat/>
    <w:uiPriority w:val="99"/>
    <w:pPr>
      <w:widowControl/>
      <w:spacing w:before="100" w:beforeAutospacing="1" w:after="100" w:afterAutospacing="1"/>
      <w:jc w:val="left"/>
    </w:pPr>
    <w:rPr>
      <w:rFonts w:ascii="宋体" w:hAnsi="宋体"/>
      <w:sz w:val="24"/>
    </w:rPr>
  </w:style>
  <w:style w:type="paragraph" w:styleId="22">
    <w:name w:val="Body Text First Indent"/>
    <w:basedOn w:val="6"/>
    <w:unhideWhenUsed/>
    <w:qFormat/>
    <w:uiPriority w:val="99"/>
    <w:pPr>
      <w:ind w:firstLine="420" w:firstLineChars="100"/>
    </w:pPr>
  </w:style>
  <w:style w:type="character" w:styleId="25">
    <w:name w:val="Strong"/>
    <w:basedOn w:val="24"/>
    <w:qFormat/>
    <w:uiPriority w:val="0"/>
    <w:rPr>
      <w:b/>
      <w:bCs/>
    </w:rPr>
  </w:style>
  <w:style w:type="character" w:styleId="26">
    <w:name w:val="page number"/>
    <w:basedOn w:val="24"/>
    <w:qFormat/>
    <w:uiPriority w:val="0"/>
  </w:style>
  <w:style w:type="character" w:styleId="27">
    <w:name w:val="Hyperlink"/>
    <w:basedOn w:val="24"/>
    <w:qFormat/>
    <w:uiPriority w:val="99"/>
    <w:rPr>
      <w:color w:val="0000FF"/>
      <w:u w:val="single"/>
    </w:rPr>
  </w:style>
  <w:style w:type="paragraph" w:customStyle="1" w:styleId="28">
    <w:name w:val="Body Text Indent"/>
    <w:basedOn w:val="1"/>
    <w:qFormat/>
    <w:uiPriority w:val="0"/>
    <w:pPr>
      <w:adjustRightInd w:val="0"/>
      <w:spacing w:line="360" w:lineRule="auto"/>
      <w:ind w:firstLine="490"/>
      <w:jc w:val="left"/>
    </w:pPr>
    <w:rPr>
      <w:rFonts w:hint="eastAsia" w:ascii="宋体" w:hAnsi="宋体"/>
      <w:sz w:val="24"/>
    </w:rPr>
  </w:style>
  <w:style w:type="paragraph" w:customStyle="1" w:styleId="29">
    <w:name w:val="Body Text Indent1"/>
    <w:basedOn w:val="1"/>
    <w:qFormat/>
    <w:uiPriority w:val="0"/>
    <w:pPr>
      <w:adjustRightInd w:val="0"/>
      <w:spacing w:line="360" w:lineRule="auto"/>
      <w:ind w:firstLine="490"/>
      <w:jc w:val="left"/>
    </w:pPr>
    <w:rPr>
      <w:rFonts w:hint="eastAsia" w:ascii="宋体" w:hAnsi="宋体"/>
      <w:sz w:val="24"/>
    </w:rPr>
  </w:style>
  <w:style w:type="paragraph" w:customStyle="1" w:styleId="30">
    <w:name w:val="Char"/>
    <w:basedOn w:val="1"/>
    <w:qFormat/>
    <w:uiPriority w:val="0"/>
    <w:rPr>
      <w:szCs w:val="20"/>
    </w:rPr>
  </w:style>
  <w:style w:type="paragraph" w:customStyle="1" w:styleId="31">
    <w:name w:val="正文2"/>
    <w:basedOn w:val="1"/>
    <w:qFormat/>
    <w:uiPriority w:val="0"/>
    <w:pPr>
      <w:adjustRightInd w:val="0"/>
      <w:spacing w:before="156" w:line="360" w:lineRule="auto"/>
      <w:ind w:firstLine="510" w:firstLineChars="200"/>
    </w:pPr>
    <w:rPr>
      <w:sz w:val="24"/>
      <w:szCs w:val="20"/>
    </w:rPr>
  </w:style>
  <w:style w:type="character" w:customStyle="1" w:styleId="32">
    <w:name w:val="标题 1 Char"/>
    <w:link w:val="4"/>
    <w:qFormat/>
    <w:uiPriority w:val="0"/>
    <w:rPr>
      <w:b/>
      <w:kern w:val="44"/>
      <w:sz w:val="44"/>
    </w:rPr>
  </w:style>
  <w:style w:type="paragraph" w:customStyle="1" w:styleId="33">
    <w:name w:val="List Paragraph1"/>
    <w:basedOn w:val="1"/>
    <w:qFormat/>
    <w:uiPriority w:val="0"/>
    <w:pPr>
      <w:widowControl/>
      <w:ind w:firstLine="420" w:firstLineChars="200"/>
      <w:jc w:val="left"/>
    </w:pPr>
    <w:rPr>
      <w:rFonts w:ascii="Calibri" w:hAnsi="Calibri"/>
      <w:szCs w:val="22"/>
    </w:rPr>
  </w:style>
  <w:style w:type="character" w:customStyle="1" w:styleId="34">
    <w:name w:val="style81"/>
    <w:qFormat/>
    <w:uiPriority w:val="0"/>
    <w:rPr>
      <w:sz w:val="20"/>
      <w:szCs w:val="20"/>
    </w:rPr>
  </w:style>
  <w:style w:type="paragraph" w:customStyle="1" w:styleId="35">
    <w:name w:val="列出段落1"/>
    <w:basedOn w:val="1"/>
    <w:qFormat/>
    <w:uiPriority w:val="99"/>
    <w:pPr>
      <w:ind w:firstLine="420"/>
      <w:jc w:val="left"/>
    </w:pPr>
    <w:rPr>
      <w:szCs w:val="20"/>
    </w:rPr>
  </w:style>
  <w:style w:type="paragraph" w:customStyle="1" w:styleId="36">
    <w:name w:val="表格"/>
    <w:basedOn w:val="1"/>
    <w:qFormat/>
    <w:uiPriority w:val="0"/>
    <w:pPr>
      <w:autoSpaceDE w:val="0"/>
      <w:autoSpaceDN w:val="0"/>
      <w:jc w:val="center"/>
      <w:textAlignment w:val="baseline"/>
    </w:pPr>
    <w:rPr>
      <w:color w:val="000000"/>
      <w:kern w:val="0"/>
    </w:rPr>
  </w:style>
  <w:style w:type="character" w:customStyle="1" w:styleId="37">
    <w:name w:val="批注框文本 Char"/>
    <w:basedOn w:val="24"/>
    <w:link w:val="16"/>
    <w:qFormat/>
    <w:uiPriority w:val="0"/>
    <w:rPr>
      <w:kern w:val="2"/>
      <w:sz w:val="18"/>
      <w:szCs w:val="18"/>
    </w:rPr>
  </w:style>
  <w:style w:type="paragraph" w:styleId="38">
    <w:name w:val="List Paragraph"/>
    <w:basedOn w:val="1"/>
    <w:unhideWhenUsed/>
    <w:qFormat/>
    <w:uiPriority w:val="99"/>
    <w:pPr>
      <w:ind w:firstLine="420" w:firstLineChars="200"/>
    </w:pPr>
  </w:style>
  <w:style w:type="character" w:customStyle="1" w:styleId="39">
    <w:name w:val="正文 项目 Char"/>
    <w:qFormat/>
    <w:uiPriority w:val="0"/>
    <w:rPr>
      <w:rFonts w:ascii="仿宋_GB2312" w:hAnsi="仿宋_GB2312" w:eastAsia="仿宋_GB2312" w:cs="Times New Roman"/>
      <w:kern w:val="2"/>
      <w:sz w:val="24"/>
      <w:lang w:bidi="ar-SA"/>
    </w:rPr>
  </w:style>
  <w:style w:type="paragraph" w:customStyle="1" w:styleId="40">
    <w:name w:val="表格文字"/>
    <w:basedOn w:val="1"/>
    <w:next w:val="6"/>
    <w:qFormat/>
    <w:uiPriority w:val="0"/>
    <w:pPr>
      <w:adjustRightInd w:val="0"/>
      <w:spacing w:line="420" w:lineRule="atLeast"/>
      <w:textAlignment w:val="baseline"/>
    </w:pPr>
    <w:rPr>
      <w:szCs w:val="24"/>
    </w:rPr>
  </w:style>
  <w:style w:type="paragraph" w:customStyle="1" w:styleId="41">
    <w:name w:val="正文段"/>
    <w:basedOn w:val="1"/>
    <w:next w:val="42"/>
    <w:qFormat/>
    <w:uiPriority w:val="0"/>
    <w:pPr>
      <w:widowControl/>
      <w:autoSpaceDE/>
      <w:autoSpaceDN/>
      <w:adjustRightInd/>
      <w:snapToGrid w:val="0"/>
      <w:spacing w:after="156" w:afterLines="50"/>
      <w:ind w:firstLine="200" w:firstLineChars="200"/>
    </w:pPr>
    <w:rPr>
      <w:color w:val="auto"/>
      <w:sz w:val="24"/>
      <w:szCs w:val="20"/>
    </w:rPr>
  </w:style>
  <w:style w:type="paragraph" w:customStyle="1" w:styleId="42">
    <w:name w:val="index 5"/>
    <w:basedOn w:val="1"/>
    <w:next w:val="1"/>
    <w:qFormat/>
    <w:uiPriority w:val="0"/>
    <w:pPr>
      <w:ind w:left="800" w:leftChars="800"/>
    </w:pPr>
  </w:style>
  <w:style w:type="character" w:customStyle="1" w:styleId="43">
    <w:name w:val="font11"/>
    <w:basedOn w:val="24"/>
    <w:qFormat/>
    <w:uiPriority w:val="0"/>
    <w:rPr>
      <w:rFonts w:hint="eastAsia" w:ascii="宋体" w:hAnsi="宋体" w:eastAsia="宋体" w:cs="宋体"/>
      <w:color w:val="000000"/>
      <w:sz w:val="22"/>
      <w:szCs w:val="22"/>
      <w:u w:val="none"/>
    </w:rPr>
  </w:style>
  <w:style w:type="character" w:customStyle="1" w:styleId="44">
    <w:name w:val="font01"/>
    <w:basedOn w:val="24"/>
    <w:qFormat/>
    <w:uiPriority w:val="0"/>
    <w:rPr>
      <w:rFonts w:hint="default" w:ascii="Calibri" w:hAnsi="Calibri" w:cs="Calibri"/>
      <w:color w:val="000000"/>
      <w:sz w:val="22"/>
      <w:szCs w:val="22"/>
      <w:u w:val="none"/>
    </w:rPr>
  </w:style>
  <w:style w:type="paragraph" w:customStyle="1" w:styleId="45">
    <w:name w:val="彩色列表 - 强调文字颜色 1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9466F7-2E27-4B93-85AB-2E2550A43B3C}">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54</Pages>
  <Words>24631</Words>
  <Characters>5345</Characters>
  <Lines>44</Lines>
  <Paragraphs>59</Paragraphs>
  <TotalTime>75</TotalTime>
  <ScaleCrop>false</ScaleCrop>
  <LinksUpToDate>false</LinksUpToDate>
  <CharactersWithSpaces>29917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2020-09-16T12:46:00Z</dcterms:created>
  <dc:creator>陈圣楠</dc:creator>
  <cp:lastModifiedBy>NTKO</cp:lastModifiedBy>
  <cp:lastPrinted>2021-01-04T01:00:00Z</cp:lastPrinted>
  <dcterms:modified xsi:type="dcterms:W3CDTF">2021-01-04T05:32:31Z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